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pxgwmzilpm</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xgwmzilpm"/>
    <w:p>
      <w:pPr>
        <w:pStyle w:val="Heading2"/>
      </w:pPr>
      <w:r>
        <w:t xml:space="preserve">for pxgwmzilpm</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wwtfymkudr</w:t>
      </w:r>
    </w:p>
    <w:p>
      <w:pPr>
        <w:pStyle w:val="BodyText"/>
      </w:pPr>
      <w:r>
        <w:rPr>
          <w:bCs/>
          <w:b/>
        </w:rPr>
        <w:t xml:space="preserve">Senior Sustainability Consultant:</w:t>
      </w:r>
      <w:r>
        <w:t xml:space="preserve"> </w:t>
      </w:r>
      <w:r>
        <w:t xml:space="preserve">vdjtlmvqry</w:t>
      </w:r>
    </w:p>
    <w:p>
      <w:pPr>
        <w:pStyle w:val="BodyText"/>
      </w:pPr>
      <w:r>
        <w:t xml:space="preserve">This report is generated based on available data and industry standards. Actual values may vary based on specific operational details and real-time data collection.</w:t>
      </w:r>
    </w:p>
    <w:bookmarkEnd w:id="20"/>
    <w:bookmarkEnd w:id="21"/>
    <w:bookmarkStart w:id="45"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vdjtlmvqry</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"pxgwmzilpm" manufactured by "wwtfymkudr". The analysis adheres to the Greenhouse Gas (GHG) Protocol, encompassing Scope 1, Scope 2, and Scope 3 emissions, with a forward-looking perspective towards 2026 requirements, including the Land Sector and Removals (LSR) Standard and stringent Scope 3 coverage. The primary goal is to quantify the total greenhouse gas emissions associated with the product\'s lifecycle from a factory-gate system boundary, identify key emission hotspots, and provide actionable insights for reduction.</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was conducted following the five key steps outlined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pxgwmzilpm.</w:t>
      </w:r>
    </w:p>
    <w:p>
      <w:pPr>
        <w:numPr>
          <w:ilvl w:val="1"/>
          <w:numId w:val="1002"/>
        </w:numPr>
        <w:pStyle w:val="Compact"/>
      </w:pPr>
      <w:r>
        <w:rPr>
          <w:bCs/>
          <w:b/>
        </w:rPr>
        <w:t xml:space="preserve">System Boundary:</w:t>
      </w:r>
      <w:r>
        <w:t xml:space="preserve"> </w:t>
      </w:r>
      <w:r>
        <w:t xml:space="preserve">factory_gate (cradle-to-gate for upstream, extending to cradle-to-grave for use and end-of-life phases for a comprehensive PCF).</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Mass-based allocation is applied where relevant for co-products or waste streams, though primarily direct impacts are considered for individual components.</w:t>
      </w:r>
    </w:p>
    <w:p>
      <w:pPr>
        <w:numPr>
          <w:ilvl w:val="0"/>
          <w:numId w:val="1001"/>
        </w:numPr>
      </w:pPr>
      <w:r>
        <w:rPr>
          <w:bCs/>
          <w:b/>
        </w:rPr>
        <w:t xml:space="preserve">Map Lifecycle (LCI inventory stages):</w:t>
      </w:r>
    </w:p>
    <w:p>
      <w:pPr>
        <w:numPr>
          <w:ilvl w:val="0"/>
          <w:numId w:val="1000"/>
        </w:numPr>
      </w:pPr>
      <w:r>
        <w:t xml:space="preserve">The product lifecycle stages mapped for this analysis include:</w:t>
      </w:r>
    </w:p>
    <w:p>
      <w:pPr>
        <w:numPr>
          <w:ilvl w:val="1"/>
          <w:numId w:val="1003"/>
        </w:numPr>
        <w:pStyle w:val="Compact"/>
      </w:pPr>
      <w:r>
        <w:rPr>
          <w:bCs/>
          <w:b/>
        </w:rPr>
        <w:t xml:space="preserve">Material Acquisition &amp; Pre-processing:</w:t>
      </w:r>
      <w:r>
        <w:t xml:space="preserve"> </w:t>
      </w:r>
      <w:r>
        <w:t xml:space="preserve">Extraction, processing, and manufacturing of all raw materials and components.</w:t>
      </w:r>
    </w:p>
    <w:p>
      <w:pPr>
        <w:numPr>
          <w:ilvl w:val="1"/>
          <w:numId w:val="1003"/>
        </w:numPr>
        <w:pStyle w:val="Compact"/>
      </w:pPr>
      <w:r>
        <w:rPr>
          <w:bCs/>
          <w:b/>
        </w:rPr>
        <w:t xml:space="preserve">Production:</w:t>
      </w:r>
      <w:r>
        <w:t xml:space="preserve"> </w:t>
      </w:r>
      <w:r>
        <w:t xml:space="preserve">Manufacturing of the final product at the facility.</w:t>
      </w:r>
    </w:p>
    <w:p>
      <w:pPr>
        <w:numPr>
          <w:ilvl w:val="1"/>
          <w:numId w:val="1003"/>
        </w:numPr>
        <w:pStyle w:val="Compact"/>
      </w:pPr>
      <w:r>
        <w:rPr>
          <w:bCs/>
          <w:b/>
        </w:rPr>
        <w:t xml:space="preserve">Transportation &amp; Distribution:</w:t>
      </w:r>
      <w:r>
        <w:t xml:space="preserve"> </w:t>
      </w:r>
      <w:r>
        <w:t xml:space="preserve">Upstream (raw materials to factory) and Downstream (factory to customer, including last-mile).</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w:t>
      </w:r>
      <w:r>
        <w:t xml:space="preserve"> </w:t>
      </w:r>
      <w:r>
        <w:t xml:space="preserve">Disposal, recycling, and other treatment processes.</w:t>
      </w:r>
    </w:p>
    <w:p>
      <w:pPr>
        <w:numPr>
          <w:ilvl w:val="0"/>
          <w:numId w:val="1001"/>
        </w:numPr>
      </w:pPr>
      <w:r>
        <w:rPr>
          <w:bCs/>
          <w:b/>
        </w:rPr>
        <w:t xml:space="preserve">Collect Data (Primary/Secondary data points):</w:t>
      </w:r>
    </w:p>
    <w:p>
      <w:pPr>
        <w:numPr>
          <w:ilvl w:val="0"/>
          <w:numId w:val="1000"/>
        </w:numPr>
      </w:pPr>
      <w:r>
        <w:t xml:space="preserve">Data was collected and, where specific values were not provided, illustrative industry-average emission factors (primarily from Ecoinvent/DEFRA equivalents) were applied to demonstrate the calculation methodology. The provided specific parameters are incorporated as detailed below.</w:t>
      </w:r>
    </w:p>
    <w:p>
      <w:pPr>
        <w:numPr>
          <w:ilvl w:val="0"/>
          <w:numId w:val="1001"/>
        </w:numPr>
      </w:pPr>
      <w:r>
        <w:rPr>
          <w:bCs/>
          <w:b/>
        </w:rPr>
        <w:t xml:space="preserve">Calculate Emissions (Activity * Emission Factor = CO2e):</w:t>
      </w:r>
    </w:p>
    <w:p>
      <w:pPr>
        <w:numPr>
          <w:ilvl w:val="0"/>
          <w:numId w:val="1000"/>
        </w:numPr>
      </w:pPr>
      <w:r>
        <w:t xml:space="preserve">Emissions are calculated by multiplying activity data (e.g., quantity of material, energy consumed, distance traveled) by corresponding emission factors. Results are expressed in carbon dioxide equivalents (CO2e).</w:t>
      </w:r>
    </w:p>
    <w:p>
      <w:pPr>
        <w:numPr>
          <w:ilvl w:val="0"/>
          <w:numId w:val="1001"/>
        </w:numPr>
      </w:pPr>
      <w:r>
        <w:rPr>
          <w:bCs/>
          <w:b/>
        </w:rPr>
        <w:t xml:space="preserve">Review &amp; Report:</w:t>
      </w:r>
    </w:p>
    <w:p>
      <w:pPr>
        <w:numPr>
          <w:ilvl w:val="0"/>
          <w:numId w:val="1000"/>
        </w:numPr>
      </w:pPr>
      <w:r>
        <w:t xml:space="preserve">Identification of emission hotspots, assessment of data reliability, and formulation of recommendations for reduction.</w:t>
      </w:r>
    </w:p>
    <w:p>
      <w:r>
        <w:pict>
          <v:rect style="width:0;height:1.5pt" o:hralign="center" o:hrstd="t" o:hr="t"/>
        </w:pict>
      </w:r>
    </w:p>
    <w:bookmarkEnd w:id="23"/>
    <w:bookmarkStart w:id="26" w:name="ghg-protocol-adherence-and-2026-updates"/>
    <w:p>
      <w:pPr>
        <w:pStyle w:val="Heading2"/>
      </w:pPr>
      <w:r>
        <w:t xml:space="preserve">GHG Protocol Adherence and 2026 Updates</w:t>
      </w:r>
    </w:p>
    <w:p>
      <w:pPr>
        <w:pStyle w:val="FirstParagraph"/>
      </w:pPr>
      <w:r>
        <w:t xml:space="preserve">This analysis strictly adheres to the GHG Protocol for corporate and product accounting standards, categorizing emissions into Scope 1 (direct), Scope 2 (purchased energy), and Scope 3 (value chain).</w:t>
      </w:r>
    </w:p>
    <w:bookmarkStart w:id="24" w:name="X504f4a86e01fdcfa46a4589bb1b5e0cfaad8629"/>
    <w:p>
      <w:pPr>
        <w:pStyle w:val="Heading3"/>
      </w:pPr>
      <w:r>
        <w:t xml:space="preserve">2026 Land Sector and Removals (LSR) Standard Update</w:t>
      </w:r>
    </w:p>
    <w:p>
      <w:pPr>
        <w:pStyle w:val="FirstParagraph"/>
      </w:pPr>
      <w:r>
        <w:t xml:space="preserve">The GHG Protocol\'s Land Sector and Removals (LSR) Standard, taking effect on January 1, 2027, provides comprehensive guidance for quantifying, reporting, and tracking land emissions, CO2 removals, and biogenic products. While the materials for pxgwmzilpm as specified do not explicitly include bio-based materials or direct land-use change impacts that would necessitate specific LSR calculations at this stage, the principle of accounting for removals is integrated into the End-of-Life phase by quantifying avoided emissions through recycling. Should wwtfymkudr incorporate bio-based materials or engage in land management activities within its value chain, the LSR Standard would be critical for comprehensive reporting.</w:t>
      </w:r>
    </w:p>
    <w:bookmarkEnd w:id="24"/>
    <w:bookmarkStart w:id="25" w:name="X1f6b86fdd0fd2b95afaf058731206ea470bcbbf"/>
    <w:p>
      <w:pPr>
        <w:pStyle w:val="Heading3"/>
      </w:pPr>
      <w:r>
        <w:t xml:space="preserve">Scope 3 Compliance (95% Coverage for 2026 Requirements)</w:t>
      </w:r>
    </w:p>
    <w:p>
      <w:pPr>
        <w:pStyle w:val="FirstParagraph"/>
      </w:pPr>
      <w:r>
        <w:t xml:space="preserve">As per the GHG Protocol\'s 2026 requirements, companies must achieve at least 95% coverage for their Scope 3 reporting to claim conformance. This update also mandates data disaggregation by source type (primary vs. secondary) and introduces a new Category 16 for other value chain activities. This report aims for comprehensive Scope 3 coverage by analyzing all relevant upstream and downstream activities, acknowledging the need for robust primary data collection where possible.</w:t>
      </w:r>
    </w:p>
    <w:p>
      <w:r>
        <w:pict>
          <v:rect style="width:0;height:1.5pt" o:hralign="center" o:hrstd="t" o:hr="t"/>
        </w:pict>
      </w:r>
    </w:p>
    <w:bookmarkEnd w:id="25"/>
    <w:bookmarkEnd w:id="26"/>
    <w:bookmarkStart w:id="44" w:name="detailed-pcf-analysis-for-pxgwmzilpm"/>
    <w:p>
      <w:pPr>
        <w:pStyle w:val="Heading2"/>
      </w:pPr>
      <w:r>
        <w:t xml:space="preserve">Detailed PCF Analysis for pxgwmzilpm</w:t>
      </w:r>
    </w:p>
    <w:bookmarkStart w:id="27" w:name="scope-definition"/>
    <w:p>
      <w:pPr>
        <w:pStyle w:val="Heading3"/>
      </w:pPr>
      <w:r>
        <w:t xml:space="preserve">1. Scope Definition</w:t>
      </w:r>
    </w:p>
    <w:p>
      <w:pPr>
        <w:numPr>
          <w:ilvl w:val="0"/>
          <w:numId w:val="1004"/>
        </w:numPr>
        <w:pStyle w:val="Compact"/>
      </w:pPr>
      <w:r>
        <w:rPr>
          <w:bCs/>
          <w:b/>
        </w:rPr>
        <w:t xml:space="preserve">Functional Unit:</w:t>
      </w:r>
      <w:r>
        <w:t xml:space="preserve"> </w:t>
      </w:r>
      <w:r>
        <w:t xml:space="preserve">1.0 unit of pxgwmzilpm</w:t>
      </w:r>
    </w:p>
    <w:p>
      <w:pPr>
        <w:numPr>
          <w:ilvl w:val="0"/>
          <w:numId w:val="1004"/>
        </w:numPr>
        <w:pStyle w:val="Compact"/>
      </w:pPr>
      <w:r>
        <w:rPr>
          <w:bCs/>
          <w:b/>
        </w:rPr>
        <w:t xml:space="preserve">System Boundary:</w:t>
      </w:r>
      <w:r>
        <w:t xml:space="preserve"> </w:t>
      </w:r>
      <w:r>
        <w:t xml:space="preserve">factory_gate (with subsequent inclusion of use and end-of-life phases for a comprehensive cradle-to-grave PCF).</w:t>
      </w:r>
    </w:p>
    <w:p>
      <w:pPr>
        <w:numPr>
          <w:ilvl w:val="0"/>
          <w:numId w:val="1004"/>
        </w:numPr>
        <w:pStyle w:val="Compact"/>
      </w:pPr>
      <w:r>
        <w:rPr>
          <w:bCs/>
          <w:b/>
        </w:rPr>
        <w:t xml:space="preserve">Geographic Scope:</w:t>
      </w:r>
    </w:p>
    <w:p>
      <w:pPr>
        <w:numPr>
          <w:ilvl w:val="1"/>
          <w:numId w:val="1005"/>
        </w:numPr>
        <w:pStyle w:val="Compact"/>
      </w:pPr>
      <w:r>
        <w:t xml:space="preserve">Final Production Country: China</w:t>
      </w:r>
    </w:p>
    <w:p>
      <w:pPr>
        <w:numPr>
          <w:ilvl w:val="1"/>
          <w:numId w:val="1005"/>
        </w:numPr>
        <w:pStyle w:val="Compact"/>
      </w:pPr>
      <w:r>
        <w:t xml:space="preserve">Supply Chain Focus: Europe Focused (for raw material sourcing and logistics assumptions).</w:t>
      </w:r>
    </w:p>
    <w:p>
      <w:pPr>
        <w:numPr>
          <w:ilvl w:val="0"/>
          <w:numId w:val="1004"/>
        </w:numPr>
        <w:pStyle w:val="Compact"/>
      </w:pPr>
      <w:r>
        <w:rPr>
          <w:bCs/>
          <w:b/>
        </w:rPr>
        <w:t xml:space="preserve">Accounting Standard:</w:t>
      </w:r>
      <w:r>
        <w:t xml:space="preserve"> </w:t>
      </w:r>
      <w:r>
        <w:t xml:space="preserve">GHG Protocol</w:t>
      </w:r>
    </w:p>
    <w:bookmarkEnd w:id="27"/>
    <w:bookmarkStart w:id="33" w:name="lifecycle-mapping-3.-data-collection"/>
    <w:p>
      <w:pPr>
        <w:pStyle w:val="Heading3"/>
      </w:pPr>
      <w:r>
        <w:t xml:space="preserve">2. Lifecycle Mapping &amp; 3. Data Collection</w:t>
      </w:r>
    </w:p>
    <w:p>
      <w:pPr>
        <w:pStyle w:val="FirstParagraph"/>
      </w:pPr>
      <w:r>
        <w:t xml:space="preserve">The following sections detail the material and energy inputs and logistics data used in this analysis. Due to the placeholder nature of some input parameters, illustrative data and industry-standard emission factors are used to demonstrate the calculation methodology.</w:t>
      </w:r>
    </w:p>
    <w:bookmarkStart w:id="28" w:name="Xa34fd980b204888322cffc6de3bd7cc74dacd83"/>
    <w:p>
      <w:pPr>
        <w:pStyle w:val="Heading4"/>
      </w:pPr>
      <w:r>
        <w:t xml:space="preserve">Detailed Bill of Materials (BOM) - pirxnmwt</w:t>
      </w:r>
    </w:p>
    <w:p>
      <w:pPr>
        <w:pStyle w:val="FirstParagraph"/>
      </w:pPr>
      <w:r>
        <w:t xml:space="preserve">The following table presents the detailed Bill of Materials (BOM) with illustrative quantities and emission factors, as per the specified format. These values are crucial for calculating the material impact (Scope 3, Category 1).</w:t>
      </w:r>
    </w:p>
    <w:tbl>
      <w:tblPr>
        <w:tblStyle w:val="Table"/>
        <w:tblW w:type="pct" w:w="500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Product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1.90</w:t>
            </w:r>
            <w:r>
              <w:t xml:space="preserve"> </w:t>
            </w:r>
            <w:r>
              <w:rPr>
                <w:vertAlign w:val="superscript"/>
              </w:rPr>
              <w:t xml:space="preserve">[a]</w:t>
            </w:r>
          </w:p>
        </w:tc>
        <w:tc>
          <w:tcPr/>
          <w:p>
            <w:pPr>
              <w:pStyle w:val="Compact"/>
              <w:jc w:val="left"/>
            </w:pPr>
            <w:r>
              <w:t xml:space="preserve">1.52</w:t>
            </w:r>
          </w:p>
        </w:tc>
      </w:tr>
      <w:tr>
        <w:tc>
          <w:tcPr/>
          <w:p>
            <w:pPr>
              <w:pStyle w:val="Compact"/>
              <w:jc w:val="left"/>
            </w:pPr>
            <w:r>
              <w:t xml:space="preserve">102</w:t>
            </w:r>
          </w:p>
        </w:tc>
        <w:tc>
          <w:tcPr/>
          <w:p>
            <w:pPr>
              <w:pStyle w:val="Compact"/>
              <w:jc w:val="left"/>
            </w:pPr>
            <w:r>
              <w:t xml:space="preserve">Internal Structure &amp; Screws</w:t>
            </w:r>
          </w:p>
        </w:tc>
        <w:tc>
          <w:tcPr/>
          <w:p>
            <w:pPr>
              <w:pStyle w:val="Compact"/>
              <w:jc w:val="left"/>
            </w:pPr>
            <w:r>
              <w:t xml:space="preserve">Metals</w:t>
            </w:r>
          </w:p>
        </w:tc>
        <w:tc>
          <w:tcPr/>
          <w:p>
            <w:pPr>
              <w:pStyle w:val="Compact"/>
              <w:jc w:val="left"/>
            </w:pPr>
            <w:r>
              <w:t xml:space="preserve">Forming &amp; Machining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1.80</w:t>
            </w:r>
            <w:r>
              <w:t xml:space="preserve"> </w:t>
            </w:r>
            <w:r>
              <w:rPr>
                <w:vertAlign w:val="superscript"/>
              </w:rPr>
              <w:t xml:space="preserve">[b]</w:t>
            </w:r>
          </w:p>
        </w:tc>
        <w:tc>
          <w:tcPr/>
          <w:p>
            <w:pPr>
              <w:pStyle w:val="Compact"/>
              <w:jc w:val="left"/>
            </w:pPr>
            <w:r>
              <w:t xml:space="preserve">0.36</w:t>
            </w:r>
          </w:p>
        </w:tc>
      </w:tr>
      <w:tr>
        <w:tc>
          <w:tcPr/>
          <w:p>
            <w:pPr>
              <w:pStyle w:val="Compact"/>
              <w:jc w:val="left"/>
            </w:pPr>
            <w:r>
              <w:t xml:space="preserve">103</w:t>
            </w:r>
          </w:p>
        </w:tc>
        <w:tc>
          <w:tcPr/>
          <w:p>
            <w:pPr>
              <w:pStyle w:val="Compact"/>
              <w:jc w:val="left"/>
            </w:pPr>
            <w:r>
              <w:t xml:space="preserve">Printed Circuit Board (PCB) &amp; Chips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20.00</w:t>
            </w:r>
            <w:r>
              <w:t xml:space="preserve"> </w:t>
            </w:r>
            <w:r>
              <w:rPr>
                <w:vertAlign w:val="superscript"/>
              </w:rPr>
              <w:t xml:space="preserve">[c]</w:t>
            </w:r>
          </w:p>
        </w:tc>
        <w:tc>
          <w:tcPr/>
          <w:p>
            <w:pPr>
              <w:pStyle w:val="Compact"/>
              <w:jc w:val="left"/>
            </w:pPr>
            <w:r>
              <w:t xml:space="preserve">2.00</w:t>
            </w:r>
          </w:p>
        </w:tc>
      </w:tr>
      <w:tr>
        <w:tc>
          <w:tcPr/>
          <w:p>
            <w:pPr>
              <w:pStyle w:val="Compact"/>
              <w:jc w:val="left"/>
            </w:pPr>
            <w:r>
              <w:t xml:space="preserve">104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0.50</w:t>
            </w:r>
            <w:r>
              <w:t xml:space="preserve"> </w:t>
            </w:r>
            <w:r>
              <w:rPr>
                <w:vertAlign w:val="superscript"/>
              </w:rPr>
              <w:t xml:space="preserve">[d]</w:t>
            </w:r>
          </w:p>
        </w:tc>
        <w:tc>
          <w:tcPr/>
          <w:p>
            <w:pPr>
              <w:pStyle w:val="Compact"/>
              <w:jc w:val="left"/>
            </w:pPr>
            <w:r>
              <w:t xml:space="preserve">0.075</w:t>
            </w:r>
          </w:p>
        </w:tc>
      </w:tr>
      <w:tr>
        <w:tc>
          <w:tcPr>
            <w:gridSpan w:val="7"/>
          </w:tcPr>
          <w:p>
            <w:pPr>
              <w:pStyle w:val="Compact"/>
              <w:jc w:val="right"/>
            </w:pPr>
            <w:r>
              <w:rPr>
                <w:bCs/>
                <w:b/>
              </w:rPr>
              <w:t xml:space="preserve">Subtotal Material Emissions (Scope 3, Category 1):</w:t>
            </w:r>
          </w:p>
        </w:tc>
        <w:tc>
          <w:tcPr/>
          <w:p>
            <w:pPr>
              <w:pStyle w:val="Compact"/>
              <w:jc w:val="left"/>
            </w:pPr>
            <w:r>
              <w:rPr>
                <w:bCs/>
                <w:b/>
              </w:rPr>
              <w:t xml:space="preserve">3.955 kgCO2e</w:t>
            </w:r>
          </w:p>
        </w:tc>
      </w:tr>
      <w:tr>
        <w:tc>
          <w:tcPr>
            <w:gridSpan w:val="8"/>
          </w:tcPr>
          <w:p>
            <w:pPr>
              <w:pStyle w:val="Compact"/>
              <w:jc w:val="left"/>
            </w:pPr>
            <w:r>
              <w:rPr>
                <w:vertAlign w:val="superscript"/>
              </w:rPr>
              <w:t xml:space="preserve">[a]</w:t>
            </w:r>
            <w:r>
              <w:t xml:space="preserve"> </w:t>
            </w:r>
            <w:r>
              <w:t xml:space="preserve">Illustrative factor for HDPE plastic production.</w:t>
            </w:r>
            <w:r>
              <w:br/>
            </w:r>
            <w:r>
              <w:rPr>
                <w:vertAlign w:val="superscript"/>
              </w:rPr>
              <w:t xml:space="preserve">[b]</w:t>
            </w:r>
            <w:r>
              <w:t xml:space="preserve"> </w:t>
            </w:r>
            <w:r>
              <w:t xml:space="preserve">Illustrative factor for steel production (average).</w:t>
            </w:r>
            <w:r>
              <w:br/>
            </w:r>
            <w:r>
              <w:rPr>
                <w:vertAlign w:val="superscript"/>
              </w:rPr>
              <w:t xml:space="preserve">[c]</w:t>
            </w:r>
            <w:r>
              <w:t xml:space="preserve"> </w:t>
            </w:r>
            <w:r>
              <w:t xml:space="preserve">Illustrative high-level estimate for complex electronic components due to manufacturing complexity and multiple material inputs.</w:t>
            </w:r>
            <w:r>
              <w:br/>
            </w:r>
            <w:r>
              <w:rPr>
                <w:vertAlign w:val="superscript"/>
              </w:rPr>
              <w:t xml:space="preserve">[d]</w:t>
            </w:r>
            <w:r>
              <w:t xml:space="preserve"> </w:t>
            </w:r>
            <w:r>
              <w:t xml:space="preserve">Illustrative factor for virgin cardboard production.</w:t>
            </w:r>
          </w:p>
        </w:tc>
      </w:tr>
    </w:tbl>
    <w:bookmarkEnd w:id="28"/>
    <w:bookmarkStart w:id="29" w:name="X2278147f82645ca24278a527d6f45defad47f09"/>
    <w:p>
      <w:pPr>
        <w:pStyle w:val="Heading4"/>
      </w:pPr>
      <w:r>
        <w:t xml:space="preserve">Production Energy Inputs (Production Phase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Details</w:t>
            </w:r>
          </w:p>
        </w:tc>
      </w:tr>
      <w:tr>
        <w:tc>
          <w:tcPr/>
          <w:p>
            <w:pPr>
              <w:pStyle w:val="Compact"/>
              <w:jc w:val="left"/>
            </w:pPr>
            <w:r>
              <w:t xml:space="preserve">Renewable Energy Usage</w:t>
            </w:r>
          </w:p>
        </w:tc>
        <w:tc>
          <w:tcPr/>
          <w:p>
            <w:pPr>
              <w:pStyle w:val="Compact"/>
              <w:jc w:val="left"/>
            </w:pPr>
            <w:r>
              <w:t xml:space="preserve">zwwuqhjrir (e.g., 75% Renewable)</w:t>
            </w:r>
          </w:p>
        </w:tc>
        <w:tc>
          <w:tcPr/>
          <w:p>
            <w:pPr>
              <w:pStyle w:val="Compact"/>
              <w:jc w:val="left"/>
            </w:pPr>
            <w:r>
              <w:t xml:space="preserve">Percentage of electricity sourced from renewable origins.</w:t>
            </w:r>
          </w:p>
        </w:tc>
      </w:tr>
      <w:tr>
        <w:tc>
          <w:tcPr/>
          <w:p>
            <w:pPr>
              <w:pStyle w:val="Compact"/>
              <w:jc w:val="left"/>
            </w:pPr>
            <w:r>
              <w:t xml:space="preserve">Energy Intensity (kWh/unit)</w:t>
            </w:r>
          </w:p>
        </w:tc>
        <w:tc>
          <w:tcPr/>
          <w:p>
            <w:pPr>
              <w:pStyle w:val="Compact"/>
              <w:jc w:val="left"/>
            </w:pPr>
            <w:r>
              <w:t xml:space="preserve">ogptnwhlxf (e.g., 0.25 kWh/unit)</w:t>
            </w:r>
          </w:p>
        </w:tc>
        <w:tc>
          <w:tcPr/>
          <w:p>
            <w:pPr>
              <w:pStyle w:val="Compact"/>
              <w:jc w:val="left"/>
            </w:pPr>
            <w:r>
              <w:t xml:space="preserve">Electricity consumed per unit of product during manufacturing.</w:t>
            </w:r>
          </w:p>
        </w:tc>
      </w:tr>
      <w:tr>
        <w:tc>
          <w:tcPr/>
          <w:p>
            <w:pPr>
              <w:pStyle w:val="Compact"/>
              <w:jc w:val="left"/>
            </w:pPr>
            <w:r>
              <w:t xml:space="preserve">Production Country Grid Emission Factor</w:t>
            </w:r>
          </w:p>
        </w:tc>
        <w:tc>
          <w:tcPr/>
          <w:p>
            <w:pPr>
              <w:pStyle w:val="Compact"/>
              <w:jc w:val="left"/>
            </w:pPr>
            <w:r>
              <w:t xml:space="preserve">0.6205 kgCO2e/kWh</w:t>
            </w:r>
            <w:r>
              <w:t xml:space="preserve"> </w:t>
            </w:r>
            <w:r>
              <w:rPr>
                <w:vertAlign w:val="superscript"/>
              </w:rPr>
              <w:t xml:space="preserve">[e]</w:t>
            </w:r>
          </w:p>
        </w:tc>
        <w:tc>
          <w:tcPr/>
          <w:p>
            <w:pPr>
              <w:pStyle w:val="Compact"/>
              <w:jc w:val="left"/>
            </w:pPr>
            <w:r>
              <w:t xml:space="preserve">Average grid emission factor for China (2023).</w:t>
            </w:r>
          </w:p>
        </w:tc>
      </w:tr>
      <w:tr>
        <w:tc>
          <w:tcPr>
            <w:gridSpan w:val="3"/>
          </w:tcPr>
          <w:p>
            <w:pPr>
              <w:pStyle w:val="Compact"/>
              <w:jc w:val="left"/>
            </w:pPr>
            <w:r>
              <w:rPr>
                <w:vertAlign w:val="superscript"/>
              </w:rPr>
              <w:t xml:space="preserve">[e]</w:t>
            </w:r>
            <w:r>
              <w:t xml:space="preserve"> </w:t>
            </w:r>
            <w:r>
              <w:t xml:space="preserve">This factor is applied to the non-renewable portion of electricity consumption.</w:t>
            </w:r>
          </w:p>
        </w:tc>
      </w:tr>
    </w:tbl>
    <w:bookmarkEnd w:id="29"/>
    <w:bookmarkStart w:id="30" w:name="logistics-data-supply-chain-analysis"/>
    <w:p>
      <w:pPr>
        <w:pStyle w:val="Heading4"/>
      </w:pPr>
      <w:r>
        <w:t xml:space="preserve">Logistics Data (Supply Chain Analysis)</w:t>
      </w:r>
    </w:p>
    <w:tbl>
      <w:tblPr>
        <w:tblStyle w:val="Table"/>
        <w:tblW w:type="pct" w:w="500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Details</w:t>
            </w:r>
          </w:p>
        </w:tc>
      </w:tr>
      <w:tr>
        <w:tc>
          <w:tcPr/>
          <w:p>
            <w:pPr>
              <w:pStyle w:val="Compact"/>
              <w:jc w:val="left"/>
            </w:pPr>
            <w:r>
              <w:t xml:space="preserve">Transport Mode (Main)</w:t>
            </w:r>
          </w:p>
        </w:tc>
        <w:tc>
          <w:tcPr/>
          <w:p>
            <w:pPr>
              <w:pStyle w:val="Compact"/>
              <w:jc w:val="left"/>
            </w:pPr>
            <w:r>
              <w:t xml:space="preserve">Select Mode (e.g., Sea Freight)</w:t>
            </w:r>
          </w:p>
        </w:tc>
        <w:tc>
          <w:tcPr/>
          <w:p>
            <w:pPr>
              <w:pStyle w:val="Compact"/>
              <w:jc w:val="left"/>
            </w:pPr>
            <w:r>
              <w:t xml:space="preserve">Primary mode for intercontinental transport.</w:t>
            </w:r>
          </w:p>
        </w:tc>
      </w:tr>
      <w:tr>
        <w:tc>
          <w:tcPr/>
          <w:p>
            <w:pPr>
              <w:pStyle w:val="Compact"/>
              <w:jc w:val="left"/>
            </w:pPr>
            <w:r>
              <w:t xml:space="preserve">Transport Distance (Main)</w:t>
            </w:r>
          </w:p>
        </w:tc>
        <w:tc>
          <w:tcPr/>
          <w:p>
            <w:pPr>
              <w:pStyle w:val="Compact"/>
              <w:jc w:val="left"/>
            </w:pPr>
            <w:r>
              <w:t xml:space="preserve">spkpgsupei (e.g., 10,000 km)</w:t>
            </w:r>
          </w:p>
        </w:tc>
        <w:tc>
          <w:tcPr/>
          <w:p>
            <w:pPr>
              <w:pStyle w:val="Compact"/>
              <w:jc w:val="left"/>
            </w:pPr>
            <w:r>
              <w:t xml:space="preserve">Illustrative distance for sea freight from China to Europe.</w:t>
            </w:r>
          </w:p>
        </w:tc>
      </w:tr>
      <w:tr>
        <w:tc>
          <w:tcPr/>
          <w:p>
            <w:pPr>
              <w:pStyle w:val="Compact"/>
              <w:jc w:val="left"/>
            </w:pPr>
            <w:r>
              <w:t xml:space="preserve">Last-Mile Delivery Channel</w:t>
            </w:r>
          </w:p>
        </w:tc>
        <w:tc>
          <w:tcPr/>
          <w:p>
            <w:pPr>
              <w:pStyle w:val="Compact"/>
              <w:jc w:val="left"/>
            </w:pPr>
            <w:r>
              <w:t xml:space="preserve">Delivery Type (e.g., Parcel Service)</w:t>
            </w:r>
          </w:p>
        </w:tc>
        <w:tc>
          <w:tcPr/>
          <w:p>
            <w:pPr>
              <w:pStyle w:val="Compact"/>
              <w:jc w:val="left"/>
            </w:pPr>
            <w:r>
              <w:t xml:space="preserve">Method for final delivery to customer.</w:t>
            </w:r>
          </w:p>
        </w:tc>
      </w:tr>
      <w:tr>
        <w:tc>
          <w:tcPr/>
          <w:p>
            <w:pPr>
              <w:pStyle w:val="Compact"/>
              <w:jc w:val="left"/>
            </w:pPr>
            <w:r>
              <w:t xml:space="preserve">Sea Freight Emission Factor</w:t>
            </w:r>
          </w:p>
        </w:tc>
        <w:tc>
          <w:tcPr/>
          <w:p>
            <w:pPr>
              <w:pStyle w:val="Compact"/>
              <w:jc w:val="left"/>
            </w:pPr>
            <w:r>
              <w:t xml:space="preserve">0.016142 kgCO2e/tonne-km</w:t>
            </w:r>
            <w:r>
              <w:t xml:space="preserve"> </w:t>
            </w:r>
            <w:r>
              <w:rPr>
                <w:vertAlign w:val="superscript"/>
              </w:rPr>
              <w:t xml:space="preserve">[f]</w:t>
            </w:r>
          </w:p>
        </w:tc>
        <w:tc>
          <w:tcPr/>
          <w:p>
            <w:pPr>
              <w:pStyle w:val="Compact"/>
              <w:jc w:val="left"/>
            </w:pPr>
            <w:r>
              <w:t xml:space="preserve">Emission factor for container ship (average).</w:t>
            </w:r>
          </w:p>
        </w:tc>
      </w:tr>
      <w:tr>
        <w:tc>
          <w:tcPr/>
          <w:p>
            <w:pPr>
              <w:pStyle w:val="Compact"/>
              <w:jc w:val="left"/>
            </w:pPr>
            <w:r>
              <w:t xml:space="preserve">Last-Mile Delivery Emission Factor</w:t>
            </w:r>
          </w:p>
        </w:tc>
        <w:tc>
          <w:tcPr/>
          <w:p>
            <w:pPr>
              <w:pStyle w:val="Compact"/>
              <w:jc w:val="left"/>
            </w:pPr>
            <w:r>
              <w:t xml:space="preserve">0.3 kgCO2e/package</w:t>
            </w:r>
            <w:r>
              <w:t xml:space="preserve"> </w:t>
            </w:r>
            <w:r>
              <w:rPr>
                <w:vertAlign w:val="superscript"/>
              </w:rPr>
              <w:t xml:space="preserve">[g]</w:t>
            </w:r>
          </w:p>
        </w:tc>
        <w:tc>
          <w:tcPr/>
          <w:p>
            <w:pPr>
              <w:pStyle w:val="Compact"/>
              <w:jc w:val="left"/>
            </w:pPr>
            <w:r>
              <w:t xml:space="preserve">Illustrative emission factor for parcel van home delivery.</w:t>
            </w:r>
          </w:p>
        </w:tc>
      </w:tr>
      <w:tr>
        <w:tc>
          <w:tcPr>
            <w:gridSpan w:val="3"/>
          </w:tcPr>
          <w:p>
            <w:pPr>
              <w:pStyle w:val="Compact"/>
              <w:jc w:val="left"/>
            </w:pPr>
            <w:r>
              <w:rPr>
                <w:vertAlign w:val="superscript"/>
              </w:rPr>
              <w:t xml:space="preserve">[f]</w:t>
            </w:r>
            <w:r>
              <w:t xml:space="preserve"> </w:t>
            </w:r>
            <w:r>
              <w:t xml:space="preserve">Total product weight including packaging is assumed to be 1.25 kg for transport calculations.</w:t>
            </w:r>
            <w:r>
              <w:br/>
            </w:r>
            <w:r>
              <w:rPr>
                <w:vertAlign w:val="superscript"/>
              </w:rPr>
              <w:t xml:space="preserve">[g]</w:t>
            </w:r>
            <w:r>
              <w:t xml:space="preserve"> </w:t>
            </w:r>
            <w:r>
              <w:t xml:space="preserve">This factor accounts for the emissions associated with the final leg of delivery.</w:t>
            </w:r>
          </w:p>
        </w:tc>
      </w:tr>
    </w:tbl>
    <w:bookmarkEnd w:id="30"/>
    <w:bookmarkStart w:id="31" w:name="use-phase-data"/>
    <w:p>
      <w:pPr>
        <w:pStyle w:val="Heading4"/>
      </w:pPr>
      <w:r>
        <w:t xml:space="preserve">Use Phase Data</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Details</w:t>
            </w:r>
          </w:p>
        </w:tc>
      </w:tr>
      <w:tr>
        <w:tc>
          <w:tcPr/>
          <w:p>
            <w:pPr>
              <w:pStyle w:val="Compact"/>
              <w:jc w:val="left"/>
            </w:pPr>
            <w:r>
              <w:t xml:space="preserve">Product Lifespan</w:t>
            </w:r>
          </w:p>
        </w:tc>
        <w:tc>
          <w:tcPr/>
          <w:p>
            <w:pPr>
              <w:pStyle w:val="Compact"/>
              <w:jc w:val="left"/>
            </w:pPr>
            <w:r>
              <w:t xml:space="preserve">sujmidmrfs (e.g., 5 years)</w:t>
            </w:r>
          </w:p>
        </w:tc>
        <w:tc>
          <w:tcPr/>
          <w:p>
            <w:pPr>
              <w:pStyle w:val="Compact"/>
              <w:jc w:val="left"/>
            </w:pPr>
            <w:r>
              <w:t xml:space="preserve">Expected operational life of the product.</w:t>
            </w:r>
          </w:p>
        </w:tc>
      </w:tr>
      <w:tr>
        <w:tc>
          <w:tcPr/>
          <w:p>
            <w:pPr>
              <w:pStyle w:val="Compact"/>
              <w:jc w:val="left"/>
            </w:pPr>
            <w:r>
              <w:t xml:space="preserve">Energy Consumption in Use</w:t>
            </w:r>
          </w:p>
        </w:tc>
        <w:tc>
          <w:tcPr/>
          <w:p>
            <w:pPr>
              <w:pStyle w:val="Compact"/>
              <w:jc w:val="left"/>
            </w:pPr>
            <w:r>
              <w:t xml:space="preserve">qijjtpmqzn (e.g., 10 kWh/year)</w:t>
            </w:r>
          </w:p>
        </w:tc>
        <w:tc>
          <w:tcPr/>
          <w:p>
            <w:pPr>
              <w:pStyle w:val="Compact"/>
              <w:jc w:val="left"/>
            </w:pPr>
            <w:r>
              <w:t xml:space="preserve">Annual electricity consumption during typical use.</w:t>
            </w:r>
          </w:p>
        </w:tc>
      </w:tr>
      <w:tr>
        <w:tc>
          <w:tcPr/>
          <w:p>
            <w:pPr>
              <w:pStyle w:val="Compact"/>
              <w:jc w:val="left"/>
            </w:pPr>
            <w:r>
              <w:t xml:space="preserve">Generic Global Electricity Mix EF</w:t>
            </w:r>
          </w:p>
        </w:tc>
        <w:tc>
          <w:tcPr/>
          <w:p>
            <w:pPr>
              <w:pStyle w:val="Compact"/>
              <w:jc w:val="left"/>
            </w:pPr>
            <w:r>
              <w:t xml:space="preserve">0.4 kgCO2e/kWh</w:t>
            </w:r>
            <w:r>
              <w:t xml:space="preserve"> </w:t>
            </w:r>
            <w:r>
              <w:rPr>
                <w:vertAlign w:val="superscript"/>
              </w:rPr>
              <w:t xml:space="preserve">[h]</w:t>
            </w:r>
          </w:p>
        </w:tc>
        <w:tc>
          <w:tcPr/>
          <w:p>
            <w:pPr>
              <w:pStyle w:val="Compact"/>
              <w:jc w:val="left"/>
            </w:pPr>
            <w:r>
              <w:t xml:space="preserve">Illustrative average emission factor for electricity consumption during product use (assuming global distribution).</w:t>
            </w:r>
          </w:p>
        </w:tc>
      </w:tr>
      <w:tr>
        <w:tc>
          <w:tcPr>
            <w:gridSpan w:val="3"/>
          </w:tcPr>
          <w:p>
            <w:pPr>
              <w:pStyle w:val="Compact"/>
              <w:jc w:val="left"/>
            </w:pPr>
            <w:r>
              <w:rPr>
                <w:vertAlign w:val="superscript"/>
              </w:rPr>
              <w:t xml:space="preserve">[h]</w:t>
            </w:r>
            <w:r>
              <w:t xml:space="preserve"> </w:t>
            </w:r>
            <w:r>
              <w:t xml:space="preserve">The actual factor would depend on the specific grid mix of the end-user\'s location.</w:t>
            </w:r>
          </w:p>
        </w:tc>
      </w:tr>
    </w:tbl>
    <w:bookmarkEnd w:id="31"/>
    <w:bookmarkStart w:id="32" w:name="end-of-life-eol-scenarios"/>
    <w:p>
      <w:pPr>
        <w:pStyle w:val="Heading4"/>
      </w:pPr>
      <w:r>
        <w:t xml:space="preserve">End-of-Life (EoL) Scenarios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Details</w:t>
            </w:r>
          </w:p>
        </w:tc>
      </w:tr>
      <w:tr>
        <w:tc>
          <w:tcPr/>
          <w:p>
            <w:pPr>
              <w:pStyle w:val="Compact"/>
              <w:jc w:val="left"/>
            </w:pPr>
            <w:r>
              <w:t xml:space="preserve">Recyclability Percentage</w:t>
            </w:r>
          </w:p>
        </w:tc>
        <w:tc>
          <w:tcPr/>
          <w:p>
            <w:pPr>
              <w:pStyle w:val="Compact"/>
              <w:jc w:val="left"/>
            </w:pPr>
            <w:r>
              <w:t xml:space="preserve">fuezvsyteh (e.g., 80%)</w:t>
            </w:r>
          </w:p>
        </w:tc>
        <w:tc>
          <w:tcPr/>
          <w:p>
            <w:pPr>
              <w:pStyle w:val="Compact"/>
              <w:jc w:val="left"/>
            </w:pPr>
            <w:r>
              <w:t xml:space="preserve">Percentage of the product\'s material by weight that is technically recyclable.</w:t>
            </w:r>
          </w:p>
        </w:tc>
      </w:tr>
      <w:tr>
        <w:tc>
          <w:tcPr/>
          <w:p>
            <w:pPr>
              <w:pStyle w:val="Compact"/>
              <w:jc w:val="left"/>
            </w:pPr>
            <w:r>
              <w:t xml:space="preserve">Circular/Take-back Programs</w:t>
            </w:r>
          </w:p>
        </w:tc>
        <w:tc>
          <w:tcPr/>
          <w:p>
            <w:pPr>
              <w:pStyle w:val="Compact"/>
              <w:jc w:val="left"/>
            </w:pPr>
            <w:r>
              <w:t xml:space="preserve">jmnhjpfhfw (e.g., Yes, manufacturer-run program)</w:t>
            </w:r>
          </w:p>
        </w:tc>
        <w:tc>
          <w:tcPr/>
          <w:p>
            <w:pPr>
              <w:pStyle w:val="Compact"/>
              <w:jc w:val="left"/>
            </w:pPr>
            <w:r>
              <w:t xml:space="preserve">Indicates existence of programs to facilitate product return and recycling.</w:t>
            </w:r>
          </w:p>
        </w:tc>
      </w:tr>
    </w:tbl>
    <w:bookmarkEnd w:id="32"/>
    <w:bookmarkEnd w:id="33"/>
    <w:bookmarkStart w:id="40" w:name="X439a6e6dcb43c636bf515ffaf3f59bce0bd6490"/>
    <w:p>
      <w:pPr>
        <w:pStyle w:val="Heading3"/>
      </w:pPr>
      <w:r>
        <w:t xml:space="preserve">4. Emission Calculation (Activity * Emission Factor = CO2e)</w:t>
      </w:r>
    </w:p>
    <w:p>
      <w:pPr>
        <w:pStyle w:val="FirstParagraph"/>
      </w:pPr>
      <w:r>
        <w:t xml:space="preserve">Emissions are categorized and calculated according to the GHG Protocol\'s Scope definitions.</w:t>
      </w:r>
    </w:p>
    <w:bookmarkStart w:id="34" w:name="X25a6e4cd3012590b97114dd591abab239013eb8"/>
    <w:p>
      <w:pPr>
        <w:pStyle w:val="Heading4"/>
      </w:pPr>
      <w:r>
        <w:t xml:space="preserve">Scope 1: Direct Emissions (wwtfymkudr Operations)</w:t>
      </w:r>
    </w:p>
    <w:p>
      <w:pPr>
        <w:pStyle w:val="FirstParagraph"/>
      </w:pPr>
      <w:r>
        <w:t xml:space="preserve">For a product-level PCF with a "factory_gate" system boundary and no explicit on-site fuel combustion data provided, Scope 1 emissions directly attributable to the product\'s manufacturing process (e.g., from company-owned vehicles or on-site fossil fuel combustion for heat) are assumed to be negligible or accounted for within Scope 2 for purchased energy, or Scope 3 for purchased goods and services. If direct process emissions existed (e.g., from specific chemical reactions not tied to energy use), they would be included here.</w:t>
      </w:r>
    </w:p>
    <w:p>
      <w:pPr>
        <w:numPr>
          <w:ilvl w:val="0"/>
          <w:numId w:val="1006"/>
        </w:numPr>
        <w:pStyle w:val="Compact"/>
      </w:pPr>
      <w:r>
        <w:rPr>
          <w:bCs/>
          <w:b/>
        </w:rPr>
        <w:t xml:space="preserve">Estimated Scope 1 Emissions:</w:t>
      </w:r>
      <w:r>
        <w:t xml:space="preserve"> </w:t>
      </w:r>
      <w:r>
        <w:t xml:space="preserve">0.00 kgCO2e/unit</w:t>
      </w:r>
    </w:p>
    <w:bookmarkEnd w:id="34"/>
    <w:bookmarkStart w:id="35" w:name="Xab26876746784c6f106cdbd7a05735957bff4a9"/>
    <w:p>
      <w:pPr>
        <w:pStyle w:val="Heading4"/>
      </w:pPr>
      <w:r>
        <w:t xml:space="preserve">Scope 2: Indirect Emissions (Purchased Electricity)</w:t>
      </w:r>
    </w:p>
    <w:p>
      <w:pPr>
        <w:pStyle w:val="FirstParagraph"/>
      </w:pPr>
      <w:r>
        <w:t xml:space="preserve">These emissions result from the generation of purchased electricity consumed during the manufacturing of pxgwmzilpm.</w:t>
      </w:r>
    </w:p>
    <w:p>
      <w:pPr>
        <w:numPr>
          <w:ilvl w:val="0"/>
          <w:numId w:val="1007"/>
        </w:numPr>
        <w:pStyle w:val="Compact"/>
      </w:pPr>
      <w:r>
        <w:t xml:space="preserve">Total Energy Intensity: 0.25 kWh/unit</w:t>
      </w:r>
    </w:p>
    <w:p>
      <w:pPr>
        <w:numPr>
          <w:ilvl w:val="0"/>
          <w:numId w:val="1007"/>
        </w:numPr>
        <w:pStyle w:val="Compact"/>
      </w:pPr>
      <w:r>
        <w:t xml:space="preserve">Renewable Energy Usage: 75%</w:t>
      </w:r>
    </w:p>
    <w:p>
      <w:pPr>
        <w:numPr>
          <w:ilvl w:val="0"/>
          <w:numId w:val="1007"/>
        </w:numPr>
        <w:pStyle w:val="Compact"/>
      </w:pPr>
      <w:r>
        <w:t xml:space="preserve">Non-renewable electricity consumption: 0.25 kWh/unit * (1 - 0.75) = 0.0625 kWh/unit</w:t>
      </w:r>
    </w:p>
    <w:p>
      <w:pPr>
        <w:numPr>
          <w:ilvl w:val="0"/>
          <w:numId w:val="1007"/>
        </w:numPr>
        <w:pStyle w:val="Compact"/>
      </w:pPr>
      <w:r>
        <w:t xml:space="preserve">China Grid Emission Factor: 0.6205 kgCO2e/kWh</w:t>
      </w:r>
    </w:p>
    <w:p>
      <w:pPr>
        <w:numPr>
          <w:ilvl w:val="0"/>
          <w:numId w:val="1007"/>
        </w:numPr>
        <w:pStyle w:val="Compact"/>
      </w:pPr>
      <w:r>
        <w:rPr>
          <w:bCs/>
          <w:b/>
        </w:rPr>
        <w:t xml:space="preserve">Calculated Scope 2 Emissions:</w:t>
      </w:r>
      <w:r>
        <w:t xml:space="preserve"> </w:t>
      </w:r>
      <w:r>
        <w:t xml:space="preserve">0.0625 kWh/unit * 0.6205 kgCO2e/kWh =</w:t>
      </w:r>
      <w:r>
        <w:t xml:space="preserve"> </w:t>
      </w:r>
      <w:r>
        <w:rPr>
          <w:bCs/>
          <w:b/>
        </w:rPr>
        <w:t xml:space="preserve">0.03878 kgCO2e/unit</w:t>
      </w:r>
    </w:p>
    <w:bookmarkEnd w:id="35"/>
    <w:bookmarkStart w:id="38" w:name="Xd1c2b652bc5876514f180a21f002993b8de8e83"/>
    <w:p>
      <w:pPr>
        <w:pStyle w:val="Heading4"/>
      </w:pPr>
      <w:r>
        <w:t xml:space="preserve">Scope 3: Other Indirect Emissions (Value Chain)</w:t>
      </w:r>
    </w:p>
    <w:p>
      <w:pPr>
        <w:pStyle w:val="FirstParagraph"/>
      </w:pPr>
      <w:r>
        <w:t xml:space="preserve">Scope 3 emissions represent the largest portion of a product\'s carbon footprint, covering both upstream and downstream activities in the value chain.</w:t>
      </w:r>
    </w:p>
    <w:bookmarkStart w:id="36" w:name="scope-3---upstream-emissions"/>
    <w:p>
      <w:pPr>
        <w:pStyle w:val="Heading5"/>
      </w:pPr>
      <w:r>
        <w:t xml:space="preserve">Scope 3 - Upstream Emissions</w:t>
      </w:r>
    </w:p>
    <w:p>
      <w:pPr>
        <w:numPr>
          <w:ilvl w:val="0"/>
          <w:numId w:val="1008"/>
        </w:numPr>
      </w:pPr>
      <w:r>
        <w:rPr>
          <w:bCs/>
          <w:b/>
        </w:rPr>
        <w:t xml:space="preserve">Category 1: Purchased Goods and Services (Materials)</w:t>
      </w:r>
    </w:p>
    <w:p>
      <w:pPr>
        <w:numPr>
          <w:ilvl w:val="0"/>
          <w:numId w:val="1000"/>
        </w:numPr>
      </w:pPr>
      <w:r>
        <w:t xml:space="preserve">Emissions from the extraction, production, and transport of raw materials and components, as detailed in the BOM.</w:t>
      </w:r>
    </w:p>
    <w:p>
      <w:pPr>
        <w:numPr>
          <w:ilvl w:val="1"/>
          <w:numId w:val="1009"/>
        </w:numPr>
        <w:pStyle w:val="Compact"/>
      </w:pPr>
      <w:r>
        <w:t xml:space="preserve">Plastic Casing: 1.52 kgCO2e</w:t>
      </w:r>
    </w:p>
    <w:p>
      <w:pPr>
        <w:numPr>
          <w:ilvl w:val="1"/>
          <w:numId w:val="1009"/>
        </w:numPr>
        <w:pStyle w:val="Compact"/>
      </w:pPr>
      <w:r>
        <w:t xml:space="preserve">Steel Components: 0.36 kgCO2e</w:t>
      </w:r>
    </w:p>
    <w:p>
      <w:pPr>
        <w:numPr>
          <w:ilvl w:val="1"/>
          <w:numId w:val="1009"/>
        </w:numPr>
        <w:pStyle w:val="Compact"/>
      </w:pPr>
      <w:r>
        <w:t xml:space="preserve">Electronic Components: 2.00 kgCO2e</w:t>
      </w:r>
    </w:p>
    <w:p>
      <w:pPr>
        <w:numPr>
          <w:ilvl w:val="1"/>
          <w:numId w:val="1009"/>
        </w:numPr>
        <w:pStyle w:val="Compact"/>
      </w:pPr>
      <w:r>
        <w:t xml:space="preserve">Packaging Material: 0.075 kgCO2e</w:t>
      </w:r>
    </w:p>
    <w:p>
      <w:pPr>
        <w:numPr>
          <w:ilvl w:val="0"/>
          <w:numId w:val="1000"/>
        </w:numPr>
      </w:pPr>
      <w:r>
        <w:rPr>
          <w:bCs/>
          <w:b/>
        </w:rPr>
        <w:t xml:space="preserve">Subtotal Category 1 Emissions:</w:t>
      </w:r>
      <w:r>
        <w:t xml:space="preserve"> </w:t>
      </w:r>
      <w:r>
        <w:t xml:space="preserve">3.955 kgCO2e/unit</w:t>
      </w:r>
    </w:p>
    <w:p>
      <w:pPr>
        <w:numPr>
          <w:ilvl w:val="0"/>
          <w:numId w:val="1008"/>
        </w:numPr>
      </w:pPr>
      <w:r>
        <w:rPr>
          <w:bCs/>
          <w:b/>
        </w:rPr>
        <w:t xml:space="preserve">Category 4: Upstream Transportation and Distribution</w:t>
      </w:r>
    </w:p>
    <w:p>
      <w:pPr>
        <w:numPr>
          <w:ilvl w:val="0"/>
          <w:numId w:val="1000"/>
        </w:numPr>
      </w:pPr>
      <w:r>
        <w:t xml:space="preserve">Emissions from transporting raw materials and components to the manufacturing facility.</w:t>
      </w:r>
    </w:p>
    <w:p>
      <w:pPr>
        <w:numPr>
          <w:ilvl w:val="1"/>
          <w:numId w:val="1010"/>
        </w:numPr>
        <w:pStyle w:val="Compact"/>
      </w:pPr>
      <w:r>
        <w:t xml:space="preserve">Total product weight (including packaging) = 1.25 kg = 0.00125 tonnes</w:t>
      </w:r>
    </w:p>
    <w:p>
      <w:pPr>
        <w:numPr>
          <w:ilvl w:val="1"/>
          <w:numId w:val="1010"/>
        </w:numPr>
        <w:pStyle w:val="Compact"/>
      </w:pPr>
      <w:r>
        <w:t xml:space="preserve">Sea Freight Distance: 10,000 km</w:t>
      </w:r>
    </w:p>
    <w:p>
      <w:pPr>
        <w:numPr>
          <w:ilvl w:val="1"/>
          <w:numId w:val="1010"/>
        </w:numPr>
        <w:pStyle w:val="Compact"/>
      </w:pPr>
      <w:r>
        <w:t xml:space="preserve">Sea Freight Emission Factor: 0.016142 kgCO2e/tonne-km</w:t>
      </w:r>
    </w:p>
    <w:p>
      <w:pPr>
        <w:numPr>
          <w:ilvl w:val="0"/>
          <w:numId w:val="1000"/>
        </w:numPr>
      </w:pPr>
      <w:r>
        <w:rPr>
          <w:bCs/>
          <w:b/>
        </w:rPr>
        <w:t xml:space="preserve">Calculated Category 4 Emissions:</w:t>
      </w:r>
      <w:r>
        <w:t xml:space="preserve"> </w:t>
      </w:r>
      <w:r>
        <w:t xml:space="preserve">0.00125 tonnes * 10,000 km * 0.016142 kgCO2e/tonne-km =</w:t>
      </w:r>
      <w:r>
        <w:t xml:space="preserve"> </w:t>
      </w:r>
      <w:r>
        <w:rPr>
          <w:bCs/>
          <w:b/>
        </w:rPr>
        <w:t xml:space="preserve">0.20178 kgCO2e/unit</w:t>
      </w:r>
    </w:p>
    <w:bookmarkEnd w:id="36"/>
    <w:bookmarkStart w:id="37" w:name="scope-3---downstream-emissions"/>
    <w:p>
      <w:pPr>
        <w:pStyle w:val="Heading5"/>
      </w:pPr>
      <w:r>
        <w:t xml:space="preserve">Scope 3 - Downstream Emissions</w:t>
      </w:r>
    </w:p>
    <w:p>
      <w:pPr>
        <w:numPr>
          <w:ilvl w:val="0"/>
          <w:numId w:val="1011"/>
        </w:numPr>
      </w:pPr>
      <w:r>
        <w:rPr>
          <w:bCs/>
          <w:b/>
        </w:rPr>
        <w:t xml:space="preserve">Category 9: Downstream Transportation and Distribution (Last-Mile)</w:t>
      </w:r>
    </w:p>
    <w:p>
      <w:pPr>
        <w:numPr>
          <w:ilvl w:val="0"/>
          <w:numId w:val="1000"/>
        </w:numPr>
      </w:pPr>
      <w:r>
        <w:t xml:space="preserve">Emissions from transporting the finished product from the factory gate to the end-consumer\'s location via parcel service.</w:t>
      </w:r>
    </w:p>
    <w:p>
      <w:pPr>
        <w:numPr>
          <w:ilvl w:val="1"/>
          <w:numId w:val="1012"/>
        </w:numPr>
        <w:pStyle w:val="Compact"/>
      </w:pPr>
      <w:r>
        <w:t xml:space="preserve">Last-Mile Delivery Emission Factor: 0.3 kgCO2e/package</w:t>
      </w:r>
    </w:p>
    <w:p>
      <w:pPr>
        <w:numPr>
          <w:ilvl w:val="0"/>
          <w:numId w:val="1000"/>
        </w:numPr>
      </w:pPr>
      <w:r>
        <w:rPr>
          <w:bCs/>
          <w:b/>
        </w:rPr>
        <w:t xml:space="preserve">Calculated Category 9 Emissions:</w:t>
      </w:r>
      <w:r>
        <w:t xml:space="preserve"> </w:t>
      </w:r>
      <w:r>
        <w:rPr>
          <w:bCs/>
          <w:b/>
        </w:rPr>
        <w:t xml:space="preserve">0.30 kgCO2e/unit</w:t>
      </w:r>
    </w:p>
    <w:p>
      <w:pPr>
        <w:numPr>
          <w:ilvl w:val="0"/>
          <w:numId w:val="1011"/>
        </w:numPr>
      </w:pPr>
      <w:r>
        <w:rPr>
          <w:bCs/>
          <w:b/>
        </w:rPr>
        <w:t xml:space="preserve">Category 11: Use of Sold Products</w:t>
      </w:r>
    </w:p>
    <w:p>
      <w:pPr>
        <w:numPr>
          <w:ilvl w:val="0"/>
          <w:numId w:val="1000"/>
        </w:numPr>
      </w:pPr>
      <w:r>
        <w:t xml:space="preserve">Emissions from the energy consumed by the product during its lifespan.</w:t>
      </w:r>
    </w:p>
    <w:p>
      <w:pPr>
        <w:numPr>
          <w:ilvl w:val="1"/>
          <w:numId w:val="1013"/>
        </w:numPr>
        <w:pStyle w:val="Compact"/>
      </w:pPr>
      <w:r>
        <w:t xml:space="preserve">Product Lifespan: 5 years</w:t>
      </w:r>
    </w:p>
    <w:p>
      <w:pPr>
        <w:numPr>
          <w:ilvl w:val="1"/>
          <w:numId w:val="1013"/>
        </w:numPr>
        <w:pStyle w:val="Compact"/>
      </w:pPr>
      <w:r>
        <w:t xml:space="preserve">Energy Consumption in Use: 10 kWh/year</w:t>
      </w:r>
    </w:p>
    <w:p>
      <w:pPr>
        <w:numPr>
          <w:ilvl w:val="1"/>
          <w:numId w:val="1013"/>
        </w:numPr>
        <w:pStyle w:val="Compact"/>
      </w:pPr>
      <w:r>
        <w:t xml:space="preserve">Total Use Phase Energy: 5 years * 10 kWh/year = 50 kWh</w:t>
      </w:r>
    </w:p>
    <w:p>
      <w:pPr>
        <w:numPr>
          <w:ilvl w:val="1"/>
          <w:numId w:val="1013"/>
        </w:numPr>
        <w:pStyle w:val="Compact"/>
      </w:pPr>
      <w:r>
        <w:t xml:space="preserve">Generic Global Electricity Mix EF: 0.4 kgCO2e/kWh</w:t>
      </w:r>
    </w:p>
    <w:p>
      <w:pPr>
        <w:numPr>
          <w:ilvl w:val="0"/>
          <w:numId w:val="1000"/>
        </w:numPr>
      </w:pPr>
      <w:r>
        <w:rPr>
          <w:bCs/>
          <w:b/>
        </w:rPr>
        <w:t xml:space="preserve">Calculated Category 11 Emissions:</w:t>
      </w:r>
      <w:r>
        <w:t xml:space="preserve"> </w:t>
      </w:r>
      <w:r>
        <w:t xml:space="preserve">50 kWh * 0.4 kgCO2e/kWh =</w:t>
      </w:r>
      <w:r>
        <w:t xml:space="preserve"> </w:t>
      </w:r>
      <w:r>
        <w:rPr>
          <w:bCs/>
          <w:b/>
        </w:rPr>
        <w:t xml:space="preserve">20.00 kgCO2e/unit</w:t>
      </w:r>
    </w:p>
    <w:p>
      <w:pPr>
        <w:numPr>
          <w:ilvl w:val="0"/>
          <w:numId w:val="1011"/>
        </w:numPr>
      </w:pPr>
      <w:r>
        <w:rPr>
          <w:bCs/>
          <w:b/>
        </w:rPr>
        <w:t xml:space="preserve">Category 12: End-of-Life Treatment of Sold Products</w:t>
      </w:r>
    </w:p>
    <w:p>
      <w:pPr>
        <w:numPr>
          <w:ilvl w:val="0"/>
          <w:numId w:val="1000"/>
        </w:numPr>
      </w:pPr>
      <w:r>
        <w:t xml:space="preserve">Emissions and avoided emissions associated with the product\'s disposal and recycling at the end of its life.</w:t>
      </w:r>
    </w:p>
    <w:p>
      <w:pPr>
        <w:numPr>
          <w:ilvl w:val="1"/>
          <w:numId w:val="1014"/>
        </w:numPr>
        <w:pStyle w:val="Compact"/>
      </w:pPr>
      <w:r>
        <w:t xml:space="preserve">Total Material Weight: 1.25 kg</w:t>
      </w:r>
    </w:p>
    <w:p>
      <w:pPr>
        <w:numPr>
          <w:ilvl w:val="1"/>
          <w:numId w:val="1014"/>
        </w:numPr>
        <w:pStyle w:val="Compact"/>
      </w:pPr>
      <w:r>
        <w:t xml:space="preserve">Recyclability Percentage: 80%</w:t>
      </w:r>
    </w:p>
    <w:p>
      <w:pPr>
        <w:numPr>
          <w:ilvl w:val="1"/>
          <w:numId w:val="1014"/>
        </w:numPr>
        <w:pStyle w:val="Compact"/>
      </w:pPr>
      <w:r>
        <w:t xml:space="preserve">Recycled Portion: 1.25 kg * 0.80 = 1.00 kg</w:t>
      </w:r>
    </w:p>
    <w:p>
      <w:pPr>
        <w:numPr>
          <w:ilvl w:val="1"/>
          <w:numId w:val="1014"/>
        </w:numPr>
        <w:pStyle w:val="Compact"/>
      </w:pPr>
      <w:r>
        <w:t xml:space="preserve">Disposed Portion: 1.25 kg * 0.20 = 0.25 kg</w:t>
      </w:r>
    </w:p>
    <w:p>
      <w:pPr>
        <w:numPr>
          <w:ilvl w:val="0"/>
          <w:numId w:val="1000"/>
        </w:numPr>
      </w:pPr>
      <w:r>
        <w:rPr>
          <w:bCs/>
          <w:b/>
        </w:rPr>
        <w:t xml:space="preserve">Avoided Emissions from Recycling (Illustrative):</w:t>
      </w:r>
    </w:p>
    <w:p>
      <w:pPr>
        <w:numPr>
          <w:ilvl w:val="1"/>
          <w:numId w:val="1015"/>
        </w:numPr>
        <w:pStyle w:val="Compact"/>
      </w:pPr>
      <w:r>
        <w:t xml:space="preserve">Plastic (0.64 kg recycled): 0.64 kg * (1.9 kgCO2e/kg * 0.30 savings) = 0.3648 kgCO2e avoided</w:t>
      </w:r>
      <w:r>
        <w:t xml:space="preserve"> </w:t>
      </w:r>
      <w:r>
        <w:rPr>
          <w:vertAlign w:val="superscript"/>
        </w:rPr>
        <w:t xml:space="preserve">[i]</w:t>
      </w:r>
    </w:p>
    <w:p>
      <w:pPr>
        <w:numPr>
          <w:ilvl w:val="1"/>
          <w:numId w:val="1015"/>
        </w:numPr>
        <w:pStyle w:val="Compact"/>
      </w:pPr>
      <w:r>
        <w:t xml:space="preserve">Steel (0.16 kg recycled): 0.16 kg * (1.5 kgCO2e/kg avoided per kg recycled) = 0.240 kgCO2e avoided</w:t>
      </w:r>
      <w:r>
        <w:t xml:space="preserve"> </w:t>
      </w:r>
      <w:r>
        <w:rPr>
          <w:vertAlign w:val="superscript"/>
        </w:rPr>
        <w:t xml:space="preserve">[j]</w:t>
      </w:r>
    </w:p>
    <w:p>
      <w:pPr>
        <w:numPr>
          <w:ilvl w:val="1"/>
          <w:numId w:val="1015"/>
        </w:numPr>
        <w:pStyle w:val="Compact"/>
      </w:pPr>
      <w:r>
        <w:t xml:space="preserve">Electronics (0.08 kg recycled): 0.08 kg * (20 kgCO2e/kg * 0.50 savings) = 0.800 kgCO2e avoided</w:t>
      </w:r>
      <w:r>
        <w:t xml:space="preserve"> </w:t>
      </w:r>
      <w:r>
        <w:rPr>
          <w:vertAlign w:val="superscript"/>
        </w:rPr>
        <w:t xml:space="preserve">[k]</w:t>
      </w:r>
    </w:p>
    <w:p>
      <w:pPr>
        <w:numPr>
          <w:ilvl w:val="1"/>
          <w:numId w:val="1015"/>
        </w:numPr>
        <w:pStyle w:val="Compact"/>
      </w:pPr>
      <w:r>
        <w:t xml:space="preserve">Packaging (0.12 kg recycled): 0.12 kg * (0.5 kgCO2e/kg * 0.50 savings) = 0.030 kgCO2e avoided</w:t>
      </w:r>
    </w:p>
    <w:p>
      <w:pPr>
        <w:numPr>
          <w:ilvl w:val="1"/>
          <w:numId w:val="1015"/>
        </w:numPr>
        <w:pStyle w:val="Compact"/>
      </w:pPr>
      <w:r>
        <w:t xml:space="preserve">Total Avoided Emissions: 0.3648 + 0.240 + 0.800 + 0.030 = 1.4348 kgCO2e</w:t>
      </w:r>
    </w:p>
    <w:p>
      <w:pPr>
        <w:numPr>
          <w:ilvl w:val="0"/>
          <w:numId w:val="1000"/>
        </w:numPr>
      </w:pPr>
      <w:r>
        <w:rPr>
          <w:bCs/>
          <w:b/>
        </w:rPr>
        <w:t xml:space="preserve">Emissions from Disposal (Illustrative):</w:t>
      </w:r>
    </w:p>
    <w:p>
      <w:pPr>
        <w:numPr>
          <w:ilvl w:val="1"/>
          <w:numId w:val="1016"/>
        </w:numPr>
        <w:pStyle w:val="Compact"/>
      </w:pPr>
      <w:r>
        <w:t xml:space="preserve">Disposed Portion: 0.25 kg * 0.1 kgCO2e/kg (generic landfill EF) = 0.025 kgCO2e</w:t>
      </w:r>
    </w:p>
    <w:p>
      <w:pPr>
        <w:numPr>
          <w:ilvl w:val="0"/>
          <w:numId w:val="1000"/>
        </w:numPr>
      </w:pPr>
      <w:r>
        <w:rPr>
          <w:bCs/>
          <w:b/>
        </w:rPr>
        <w:t xml:space="preserve">Net Calculated Category 12 Emissions:</w:t>
      </w:r>
      <w:r>
        <w:t xml:space="preserve"> </w:t>
      </w:r>
      <w:r>
        <w:t xml:space="preserve">0.025 kgCO2e (disposal) - 1.4348 kgCO2e (avoided) =</w:t>
      </w:r>
      <w:r>
        <w:t xml:space="preserve"> </w:t>
      </w:r>
      <w:r>
        <w:rPr>
          <w:bCs/>
          <w:b/>
        </w:rPr>
        <w:t xml:space="preserve">-1.4098 kgCO2e/unit</w:t>
      </w:r>
    </w:p>
    <w:p>
      <w:pPr>
        <w:numPr>
          <w:ilvl w:val="0"/>
          <w:numId w:val="1000"/>
        </w:numPr>
      </w:pPr>
      <w:r>
        <w:rPr>
          <w:vertAlign w:val="superscript"/>
        </w:rPr>
        <w:t xml:space="preserve">[i]</w:t>
      </w:r>
      <w:r>
        <w:t xml:space="preserve"> </w:t>
      </w:r>
      <w:r>
        <w:t xml:space="preserve">Assumes 30% emissions savings for recycled plastic compared to virgin production.</w:t>
      </w:r>
      <w:r>
        <w:br/>
      </w:r>
      <w:r>
        <w:rPr>
          <w:vertAlign w:val="superscript"/>
        </w:rPr>
        <w:t xml:space="preserve">[j]</w:t>
      </w:r>
      <w:r>
        <w:t xml:space="preserve"> </w:t>
      </w:r>
      <w:r>
        <w:t xml:space="preserve">Assumes 1.5 kgCO2e avoided per kg of recycled steel.</w:t>
      </w:r>
      <w:r>
        <w:br/>
      </w:r>
      <w:r>
        <w:rPr>
          <w:vertAlign w:val="superscript"/>
        </w:rPr>
        <w:t xml:space="preserve">[k]</w:t>
      </w:r>
      <w:r>
        <w:t xml:space="preserve"> </w:t>
      </w:r>
      <w:r>
        <w:t xml:space="preserve">Illustrative assumption of 50% avoided emissions for recycled electronic components.</w:t>
      </w:r>
    </w:p>
    <w:bookmarkEnd w:id="37"/>
    <w:bookmarkEnd w:id="38"/>
    <w:bookmarkStart w:id="39" w:name="total-product-carbon-footprint-summary"/>
    <w:p>
      <w:pPr>
        <w:pStyle w:val="Heading4"/>
      </w:pPr>
      <w:r>
        <w:t xml:space="preserve">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0.03878</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3.955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0.20178</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0.30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-1.4098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23.08576 kgCO2e/unit</w:t>
            </w:r>
          </w:p>
        </w:tc>
      </w:tr>
    </w:tbl>
    <w:bookmarkEnd w:id="39"/>
    <w:bookmarkEnd w:id="40"/>
    <w:bookmarkStart w:id="43" w:name="review-report"/>
    <w:p>
      <w:pPr>
        <w:pStyle w:val="Heading3"/>
      </w:pPr>
      <w:r>
        <w:t xml:space="preserve">5. Review &amp; Report</w:t>
      </w:r>
    </w:p>
    <w:bookmarkStart w:id="41" w:name="hotspots-and-reliability"/>
    <w:p>
      <w:pPr>
        <w:pStyle w:val="Heading4"/>
      </w:pPr>
      <w:r>
        <w:t xml:space="preserve">Hotspots and Reliability</w:t>
      </w:r>
    </w:p>
    <w:p>
      <w:pPr>
        <w:pStyle w:val="FirstParagraph"/>
      </w:pPr>
      <w:r>
        <w:t xml:space="preserve">The analysis reveals that the most significant emission hotspots for pxgwmzilpm are:</w:t>
      </w:r>
    </w:p>
    <w:p>
      <w:pPr>
        <w:numPr>
          <w:ilvl w:val="0"/>
          <w:numId w:val="1017"/>
        </w:numPr>
        <w:pStyle w:val="Compact"/>
      </w:pPr>
      <w:r>
        <w:rPr>
          <w:bCs/>
          <w:b/>
        </w:rPr>
        <w:t xml:space="preserve">Use Phase (Category 11):</w:t>
      </w:r>
      <w:r>
        <w:t xml:space="preserve"> </w:t>
      </w:r>
      <w:r>
        <w:t xml:space="preserve">Constitutes the largest portion of the PCF (approximately 86.6%), primarily due to energy consumption over the product\'s lifespan. The illustrative global electricity mix factor used highlights the importance of energy efficiency and sourcing renewable energy for end-users.</w:t>
      </w:r>
    </w:p>
    <w:p>
      <w:pPr>
        <w:numPr>
          <w:ilvl w:val="0"/>
          <w:numId w:val="1017"/>
        </w:numPr>
        <w:pStyle w:val="Compact"/>
      </w:pPr>
      <w:r>
        <w:rPr>
          <w:bCs/>
          <w:b/>
        </w:rPr>
        <w:t xml:space="preserve">Purchased Goods and Services (Category 1):</w:t>
      </w:r>
      <w:r>
        <w:t xml:space="preserve"> </w:t>
      </w:r>
      <w:r>
        <w:t xml:space="preserve">Material production contributes substantially (approximately 17.1%), with electronic components showing a high per-kilogram impact. This underscores the need for sustainable material sourcing and design.</w:t>
      </w:r>
    </w:p>
    <w:p>
      <w:pPr>
        <w:numPr>
          <w:ilvl w:val="0"/>
          <w:numId w:val="1017"/>
        </w:numPr>
        <w:pStyle w:val="Compact"/>
      </w:pPr>
      <w:r>
        <w:rPr>
          <w:bCs/>
          <w:b/>
        </w:rPr>
        <w:t xml:space="preserve">End-of-Life (Category 12):</w:t>
      </w:r>
      <w:r>
        <w:t xml:space="preserve"> </w:t>
      </w:r>
      <w:r>
        <w:t xml:space="preserve">The circularity efforts, specifically high recyclability and take-back programs, lead to significant avoided emissions, demonstrating a net carbon benefit in this phase (approximately -6.1% of the total PCF).</w:t>
      </w:r>
    </w:p>
    <w:p>
      <w:pPr>
        <w:pStyle w:val="FirstParagraph"/>
      </w:pPr>
      <w:r>
        <w:t xml:space="preserve">The reliability of this analysis is dependent on the accuracy and completeness of the provided parameters. While industry-standard emission factors were used for illustrative purposes, obtaining primary data directly from suppliers and for specific energy mixes in the use phase would significantly enhance accuracy.</w:t>
      </w:r>
    </w:p>
    <w:bookmarkEnd w:id="41"/>
    <w:bookmarkStart w:id="42" w:name="recommendations"/>
    <w:p>
      <w:pPr>
        <w:pStyle w:val="Heading4"/>
      </w:pPr>
      <w:r>
        <w:t xml:space="preserve">Recommendations</w:t>
      </w:r>
    </w:p>
    <w:p>
      <w:pPr>
        <w:pStyle w:val="FirstParagraph"/>
      </w:pPr>
      <w:r>
        <w:t xml:space="preserve">To further reduce the PCF of pxgwmzilpm, wwtfymkudr should consider:</w:t>
      </w:r>
    </w:p>
    <w:p>
      <w:pPr>
        <w:numPr>
          <w:ilvl w:val="0"/>
          <w:numId w:val="1018"/>
        </w:numPr>
        <w:pStyle w:val="Compact"/>
      </w:pPr>
      <w:r>
        <w:rPr>
          <w:bCs/>
          <w:b/>
        </w:rPr>
        <w:t xml:space="preserve">Enhance Product Energy Efficiency:</w:t>
      </w:r>
      <w:r>
        <w:t xml:space="preserve"> </w:t>
      </w:r>
      <w:r>
        <w:t xml:space="preserve">Focus on R&amp;D to drastically reduce the energy consumption during the product\'s use phase, as this is the dominant hotspot.</w:t>
      </w:r>
    </w:p>
    <w:p>
      <w:pPr>
        <w:numPr>
          <w:ilvl w:val="0"/>
          <w:numId w:val="1018"/>
        </w:numPr>
        <w:pStyle w:val="Compact"/>
      </w:pPr>
      <w:r>
        <w:rPr>
          <w:bCs/>
          <w:b/>
        </w:rPr>
        <w:t xml:space="preserve">Promote Renewable Energy for End-Users:</w:t>
      </w:r>
      <w:r>
        <w:t xml:space="preserve"> </w:t>
      </w:r>
      <w:r>
        <w:t xml:space="preserve">Encourage end-users through product labeling or information campaigns to power the product with renewable electricity where available.</w:t>
      </w:r>
    </w:p>
    <w:p>
      <w:pPr>
        <w:numPr>
          <w:ilvl w:val="0"/>
          <w:numId w:val="1018"/>
        </w:numPr>
        <w:pStyle w:val="Compact"/>
      </w:pPr>
      <w:r>
        <w:rPr>
          <w:bCs/>
          <w:b/>
        </w:rPr>
        <w:t xml:space="preserve">Sustainable Material Sourcing:</w:t>
      </w:r>
      <w:r>
        <w:t xml:space="preserve"> </w:t>
      </w:r>
      <w:r>
        <w:t xml:space="preserve">Invest in materials with lower embodied carbon, particularly for high-impact components like electronics and plastics. Explore bio-based or recycled content alternatives with certified low-carbon footprints.</w:t>
      </w:r>
    </w:p>
    <w:p>
      <w:pPr>
        <w:numPr>
          <w:ilvl w:val="0"/>
          <w:numId w:val="1018"/>
        </w:numPr>
        <w:pStyle w:val="Compact"/>
      </w:pPr>
      <w:r>
        <w:rPr>
          <w:bCs/>
          <w:b/>
        </w:rPr>
        <w:t xml:space="preserve">Optimize Logistics:</w:t>
      </w:r>
      <w:r>
        <w:t xml:space="preserve"> </w:t>
      </w:r>
      <w:r>
        <w:t xml:space="preserve">Continuously seek more efficient and lower-carbon transport modes for both upstream and downstream logistics, especially for long-distance routes.</w:t>
      </w:r>
    </w:p>
    <w:p>
      <w:pPr>
        <w:numPr>
          <w:ilvl w:val="0"/>
          <w:numId w:val="1018"/>
        </w:numPr>
        <w:pStyle w:val="Compact"/>
      </w:pPr>
      <w:r>
        <w:rPr>
          <w:bCs/>
          <w:b/>
        </w:rPr>
        <w:t xml:space="preserve">Strengthen Circularity:</w:t>
      </w:r>
      <w:r>
        <w:t xml:space="preserve"> </w:t>
      </w:r>
      <w:r>
        <w:t xml:space="preserve">Leverage the existing high recyclability and circular programs to maximize material recovery and explore innovative design for disassembly to further increase avoided emissions.</w:t>
      </w:r>
    </w:p>
    <w:p>
      <w:pPr>
        <w:numPr>
          <w:ilvl w:val="0"/>
          <w:numId w:val="1018"/>
        </w:numPr>
        <w:pStyle w:val="Compact"/>
      </w:pPr>
      <w:r>
        <w:rPr>
          <w:bCs/>
          <w:b/>
        </w:rPr>
        <w:t xml:space="preserve">Improve Data Collection:</w:t>
      </w:r>
      <w:r>
        <w:t xml:space="preserve"> </w:t>
      </w:r>
      <w:r>
        <w:t xml:space="preserve">Prioritize collecting primary data from all supply chain partners to enhance the accuracy and robustness of future PCF analyses and ensure full compliance with 2026 Scope 3 reporting requirements for 95% coverage and data disaggregation.</w:t>
      </w:r>
    </w:p>
    <w:p>
      <w:r>
        <w:pict>
          <v:rect style="width:0;height:1.5pt" o:hralign="center" o:hrstd="t" o:hr="t"/>
        </w:pict>
      </w:r>
    </w:p>
    <w:p>
      <w:pPr>
        <w:pStyle w:val="FirstParagraph"/>
      </w:pPr>
      <w:r>
        <w:t xml:space="preserve">Confidential - Internal Use Only.</w:t>
      </w:r>
    </w:p>
    <w:bookmarkEnd w:id="42"/>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pxgwmzilpm</dc:title>
  <dc:creator/>
  <dc:description>High-detail Product Carbon Footprint (PCF) analysis for pxgwmzilpm by wwtfymkudr, following GHG Protocol standards, including 2026 LSR and Scope 3 updates.</dc:description>
  <dc:language>en</dc:language>
  <cp:keywords/>
  <dcterms:created xsi:type="dcterms:W3CDTF">2026-07-15T17:58:44Z</dcterms:created>
  <dcterms:modified xsi:type="dcterms:W3CDTF">2026-07-15T17:58:44Z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