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pxezzfpokw</w:t>
      </w:r>
    </w:p>
    <w:p>
      <w:pPr>
        <w:pStyle w:val="FirstParagraph"/>
      </w:pPr>
      <w:r>
        <w:rPr>
          <w:bCs/>
          <w:b/>
        </w:rP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pxezzfpokw</w:t>
      </w:r>
    </w:p>
    <w:p>
      <w:pPr>
        <w:pStyle w:val="BodyText"/>
      </w:pPr>
      <w:r>
        <w:rPr>
          <w:bCs/>
          <w:b/>
        </w:rPr>
        <w:t xml:space="preserve">Company:</w:t>
      </w:r>
      <w:r>
        <w:t xml:space="preserve"> </w:t>
      </w:r>
      <w:r>
        <w:t xml:space="preserve">xxithlgtut</w:t>
      </w:r>
    </w:p>
    <w:p>
      <w:pPr>
        <w:pStyle w:val="BodyText"/>
      </w:pPr>
      <w:r>
        <w:rPr>
          <w:bCs/>
          <w:b/>
        </w:rPr>
        <w:t xml:space="preserve">Senior Sustainability Consultant:</w:t>
      </w:r>
      <w:r>
        <w:t xml:space="preserve"> </w:t>
      </w:r>
      <w:r>
        <w:t xml:space="preserve">ygmgevqpet</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depending on specific operational details and future data updates.</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pxezzfpokw (Smart IoT Device)</w:t>
      </w:r>
    </w:p>
    <w:p>
      <w:pPr>
        <w:pStyle w:val="BodyText"/>
      </w:pPr>
      <w:r>
        <w:rPr>
          <w:bCs/>
          <w:b/>
        </w:rPr>
        <w:t xml:space="preserve">Company:</w:t>
      </w:r>
      <w:r>
        <w:t xml:space="preserve"> </w:t>
      </w:r>
      <w:r>
        <w:t xml:space="preserve">xxithlgtut</w:t>
      </w:r>
    </w:p>
    <w:p>
      <w:pPr>
        <w:pStyle w:val="BodyText"/>
      </w:pPr>
      <w:r>
        <w:rPr>
          <w:bCs/>
          <w:b/>
        </w:rPr>
        <w:t xml:space="preserve">Senior Sustainability Consultant:</w:t>
      </w:r>
      <w:r>
        <w:t xml:space="preserve"> </w:t>
      </w:r>
      <w:r>
        <w:t xml:space="preserve">ygmgevqpet</w:t>
      </w:r>
    </w:p>
    <w:p>
      <w:pPr>
        <w:pStyle w:val="BodyText"/>
      </w:pPr>
      <w:r>
        <w:rPr>
          <w:bCs/>
          <w:b/>
        </w:rPr>
        <w:t xml:space="preserve">Generated Date:</w:t>
      </w:r>
      <w:r>
        <w:t xml:space="preserve"> </w:t>
      </w:r>
      <w:r>
        <w:t xml:space="preserve">May 21,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pxezzfpokw, a Smart IoT Device, manufactured by xxithlgtut. Conducted by Senior Sustainability Consultant ygmgevqpet, this analysis adheres strictly to the GHG Protocol Product Standard and incorporates the 2026 Land Sector and Removals (LSR) Standard for land use and carbon removals. The primary objective is to quantify the greenhouse gas emissions associated with the product\'s lifecycle, identify key hotspots, and provide actionable insights for emission reduction. The functional unit for this study is defined as 1.0 unit of pxezzfpokw, with a system boundary set at the factory gate for the initial assessment and expanding to cover the full lifecycle. The analysis reveals that material acquisition and production are significant contributors to the overall footprint, necessitating strategic interventions in supply chain management and manufacturing processes.</w:t>
      </w:r>
    </w:p>
    <w:p>
      <w:r>
        <w:pict>
          <v:rect style="width:0;height:1.5pt" o:hralign="center" o:hrstd="t" o:hr="t"/>
        </w:pict>
      </w:r>
    </w:p>
    <w:bookmarkEnd w:id="22"/>
    <w:bookmarkStart w:id="27" w:name="methodology-and-scope-definition"/>
    <w:p>
      <w:pPr>
        <w:pStyle w:val="Heading2"/>
      </w:pPr>
      <w:r>
        <w:t xml:space="preserve">2. Methodology and Scope Definition</w:t>
      </w:r>
    </w:p>
    <w:p>
      <w:pPr>
        <w:pStyle w:val="FirstParagraph"/>
      </w:pPr>
      <w:r>
        <w:t xml:space="preserve">This Product Carbon Footprint (PCF) analysis is performed in accordance with the</w:t>
      </w:r>
      <w:r>
        <w:t xml:space="preserve"> </w:t>
      </w:r>
      <w:r>
        <w:rPr>
          <w:bCs/>
          <w:b/>
        </w:rPr>
        <w:t xml:space="preserve">GHG Protocol Product Life Cycle Accounting and Reporting Standard</w:t>
      </w:r>
      <w:r>
        <w:t xml:space="preserve">. The methodology follows a five-step approach:</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all relevant lifecycle stages and associated processes (Life Cycle Inventory - LCI).</w:t>
      </w:r>
    </w:p>
    <w:p>
      <w:pPr>
        <w:numPr>
          <w:ilvl w:val="0"/>
          <w:numId w:val="1001"/>
        </w:numPr>
        <w:pStyle w:val="Compact"/>
      </w:pPr>
      <w:r>
        <w:rPr>
          <w:bCs/>
          <w:b/>
        </w:rPr>
        <w:t xml:space="preserve">Collect Data:</w:t>
      </w:r>
      <w:r>
        <w:t xml:space="preserve"> </w:t>
      </w:r>
      <w:r>
        <w:t xml:space="preserve">Gather primary and secondary data points for each process.</w:t>
      </w:r>
    </w:p>
    <w:p>
      <w:pPr>
        <w:numPr>
          <w:ilvl w:val="0"/>
          <w:numId w:val="1001"/>
        </w:numPr>
        <w:pStyle w:val="Compact"/>
      </w:pPr>
      <w:r>
        <w:rPr>
          <w:bCs/>
          <w:b/>
        </w:rPr>
        <w:t xml:space="preserve">Calculate Emissions:</w:t>
      </w:r>
      <w:r>
        <w:t xml:space="preserve"> </w:t>
      </w:r>
      <w:r>
        <w:t xml:space="preserve">Quantify greenhouse gas emissions (CO2e) by multiplying activity data with appropriate emission factors.</w:t>
      </w:r>
    </w:p>
    <w:p>
      <w:pPr>
        <w:numPr>
          <w:ilvl w:val="0"/>
          <w:numId w:val="1001"/>
        </w:numPr>
        <w:pStyle w:val="Compact"/>
      </w:pPr>
      <w:r>
        <w:rPr>
          <w:bCs/>
          <w:b/>
        </w:rPr>
        <w:t xml:space="preserve">Review &amp; Report:</w:t>
      </w:r>
      <w:r>
        <w:t xml:space="preserve"> </w:t>
      </w:r>
      <w:r>
        <w:t xml:space="preserve">Analyze results, identify hotspots, assess data reliability, and present findings.</w:t>
      </w:r>
    </w:p>
    <w:bookmarkStart w:id="23" w:name="functional-unit"/>
    <w:p>
      <w:pPr>
        <w:pStyle w:val="Heading3"/>
      </w:pPr>
      <w:r>
        <w:t xml:space="preserve">2.1. Functional Unit</w:t>
      </w:r>
    </w:p>
    <w:p>
      <w:pPr>
        <w:pStyle w:val="FirstParagraph"/>
      </w:pPr>
      <w:r>
        <w:t xml:space="preserve">The functional unit for this study is</w:t>
      </w:r>
      <w:r>
        <w:t xml:space="preserve"> </w:t>
      </w:r>
      <w:r>
        <w:rPr>
          <w:bCs/>
          <w:b/>
        </w:rPr>
        <w:t xml:space="preserve">1.0 unit of pxezzfpokw</w:t>
      </w:r>
      <w:r>
        <w:t xml:space="preserve"> </w:t>
      </w:r>
      <w:r>
        <w:t xml:space="preserve">(Smart IoT Device).</w:t>
      </w:r>
    </w:p>
    <w:bookmarkEnd w:id="23"/>
    <w:bookmarkStart w:id="24" w:name="system-boundary"/>
    <w:p>
      <w:pPr>
        <w:pStyle w:val="Heading3"/>
      </w:pPr>
      <w:r>
        <w:t xml:space="preserve">2.2. System Boundary</w:t>
      </w:r>
    </w:p>
    <w:p>
      <w:pPr>
        <w:pStyle w:val="FirstParagraph"/>
      </w:pPr>
      <w:r>
        <w:t xml:space="preserve">The system boundary for this PCF analysis is \'cradle-to-grave\', encompassing all stages from raw material extraction to end-of-life treatment. Specifically, the initial assessment for production is \'factory_gate\', meaning emissions up to the point the product leaves the factory. For a comprehensive PCF, the scope is expanded to include:</w:t>
      </w:r>
    </w:p>
    <w:p>
      <w:pPr>
        <w:numPr>
          <w:ilvl w:val="0"/>
          <w:numId w:val="1002"/>
        </w:numPr>
        <w:pStyle w:val="Compact"/>
      </w:pPr>
      <w:r>
        <w:t xml:space="preserve">Material Acquisition &amp; Pre-processing</w:t>
      </w:r>
    </w:p>
    <w:p>
      <w:pPr>
        <w:numPr>
          <w:ilvl w:val="0"/>
          <w:numId w:val="1002"/>
        </w:numPr>
        <w:pStyle w:val="Compact"/>
      </w:pPr>
      <w:r>
        <w:t xml:space="preserve">Manufacturing &amp; Production</w:t>
      </w:r>
    </w:p>
    <w:p>
      <w:pPr>
        <w:numPr>
          <w:ilvl w:val="0"/>
          <w:numId w:val="1002"/>
        </w:numPr>
        <w:pStyle w:val="Compact"/>
      </w:pPr>
      <w:r>
        <w:t xml:space="preserve">Transportation (inbound logistics, outbound distribution, last-mile delivery)</w:t>
      </w:r>
    </w:p>
    <w:p>
      <w:pPr>
        <w:numPr>
          <w:ilvl w:val="0"/>
          <w:numId w:val="1002"/>
        </w:numPr>
        <w:pStyle w:val="Compact"/>
      </w:pPr>
      <w:r>
        <w:t xml:space="preserve">Use Phase</w:t>
      </w:r>
    </w:p>
    <w:p>
      <w:pPr>
        <w:numPr>
          <w:ilvl w:val="0"/>
          <w:numId w:val="1002"/>
        </w:numPr>
        <w:pStyle w:val="Compact"/>
      </w:pPr>
      <w:r>
        <w:t xml:space="preserve">End-of-Life Treatment</w:t>
      </w:r>
    </w:p>
    <w:bookmarkEnd w:id="24"/>
    <w:bookmarkStart w:id="25" w:name="geographic-scope"/>
    <w:p>
      <w:pPr>
        <w:pStyle w:val="Heading3"/>
      </w:pPr>
      <w:r>
        <w:t xml:space="preserve">2.3.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(indicating significant material sourcing/transport from Europe to China, and distribution within Europe).</w:t>
      </w:r>
    </w:p>
    <w:bookmarkEnd w:id="25"/>
    <w:bookmarkStart w:id="26" w:name="accounting-standard"/>
    <w:p>
      <w:pPr>
        <w:pStyle w:val="Heading3"/>
      </w:pPr>
      <w:r>
        <w:t xml:space="preserve">2.4. 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 Furthermore, the analysis incorporates the principles of the</w:t>
      </w:r>
      <w:r>
        <w:t xml:space="preserve"> </w:t>
      </w:r>
      <w:r>
        <w:rPr>
          <w:bCs/>
          <w:b/>
        </w:rPr>
        <w:t xml:space="preserve">2026 Land Sector and Removals (LSR) Standard</w:t>
      </w:r>
      <w:r>
        <w:t xml:space="preserve"> </w:t>
      </w:r>
      <w:r>
        <w:t xml:space="preserve">for relevant land use impacts and potential carbon removals. Compliance with</w:t>
      </w:r>
      <w:r>
        <w:t xml:space="preserve"> </w:t>
      </w:r>
      <w:r>
        <w:rPr>
          <w:bCs/>
          <w:b/>
        </w:rPr>
        <w:t xml:space="preserve">Scope 3 reporting requirements for 2026, targeting at least 95% coverage</w:t>
      </w:r>
      <w:r>
        <w:t xml:space="preserve">, has been a key driver in data collection and calculation methodologies.</w:t>
      </w:r>
    </w:p>
    <w:p>
      <w:r>
        <w:pict>
          <v:rect style="width:0;height:1.5pt" o:hralign="center" o:hrstd="t" o:hr="t"/>
        </w:pict>
      </w:r>
    </w:p>
    <w:bookmarkEnd w:id="26"/>
    <w:bookmarkEnd w:id="27"/>
    <w:bookmarkStart w:id="33" w:name="X165b47bb5250a55c5bdeab8c531813c156fa397"/>
    <w:p>
      <w:pPr>
        <w:pStyle w:val="Heading2"/>
      </w:pPr>
      <w:r>
        <w:t xml:space="preserve">3. Lifecycle Mapping and Data Collection (Steps 2 &amp; 3)</w:t>
      </w:r>
    </w:p>
    <w:p>
      <w:pPr>
        <w:pStyle w:val="FirstParagraph"/>
      </w:pPr>
      <w:r>
        <w:t xml:space="preserve">This section details the specific materials, energy, and logistics data utilized in the PCF calculation for pxezzfpokw. Primary data was used where available, complemented by secondary data from industry-standard databases (e.g., Ecoinvent/DEFRA equivalents) for generic processes and emission factors.</w:t>
      </w:r>
    </w:p>
    <w:bookmarkStart w:id="28" w:name="X96f737fa6a2c43ff8ac89bb54f43948551bcb2e"/>
    <w:p>
      <w:pPr>
        <w:pStyle w:val="Heading3"/>
      </w:pPr>
      <w:r>
        <w:t xml:space="preserve">3.1. Detailed Bill of Materials (BOM) - zvqsrlwp</w:t>
      </w:r>
    </w:p>
    <w:p>
      <w:pPr>
        <w:pStyle w:val="FirstParagraph"/>
      </w:pPr>
      <w:r>
        <w:t xml:space="preserve">The following Bill of Materials (BOM) was used for calculating the material acquisition and production impacts. Emission factors are representative industry averages (e.g., Ecoinvent/DEFRA equivalents) for the respective material categories and processes. The \'Total Carbon\' column reflects the calculated CO2e for each material input based on its quantity and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0.375</w:t>
            </w:r>
          </w:p>
        </w:tc>
      </w:tr>
      <w:tr>
        <w:tc>
          <w:tcPr/>
          <w:p>
            <w:pPr>
              <w:pStyle w:val="Compact"/>
              <w:jc w:val="left"/>
            </w:pPr>
            <w:r>
              <w:t xml:space="preserve">M2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1.000</w:t>
            </w:r>
          </w:p>
        </w:tc>
        <w:tc>
          <w:tcPr/>
          <w:p>
            <w:pPr>
              <w:pStyle w:val="Compact"/>
              <w:jc w:val="left"/>
            </w:pPr>
            <w:r>
              <w:t xml:space="preserve">unit</w:t>
            </w:r>
          </w:p>
        </w:tc>
        <w:tc>
          <w:tcPr/>
          <w:p>
            <w:pPr>
              <w:pStyle w:val="Compact"/>
              <w:jc w:val="left"/>
            </w:pPr>
            <w:r>
              <w:t xml:space="preserve">0.80</w:t>
            </w:r>
          </w:p>
        </w:tc>
        <w:tc>
          <w:tcPr/>
          <w:p>
            <w:pPr>
              <w:pStyle w:val="Compact"/>
              <w:jc w:val="left"/>
            </w:pPr>
            <w:r>
              <w:t xml:space="preserve">0.800</w:t>
            </w:r>
          </w:p>
        </w:tc>
      </w:tr>
      <w:tr>
        <w:tc>
          <w:tcPr/>
          <w:p>
            <w:pPr>
              <w:pStyle w:val="Compact"/>
              <w:jc w:val="left"/>
            </w:pPr>
            <w:r>
              <w:t xml:space="preserve">M3</w:t>
            </w:r>
          </w:p>
        </w:tc>
        <w:tc>
          <w:tcPr/>
          <w:p>
            <w:pPr>
              <w:pStyle w:val="Compact"/>
              <w:jc w:val="left"/>
            </w:pPr>
            <w:r>
              <w:t xml:space="preserve">Lithium-ion Battery</w:t>
            </w:r>
          </w:p>
        </w:tc>
        <w:tc>
          <w:tcPr/>
          <w:p>
            <w:pPr>
              <w:pStyle w:val="Compact"/>
              <w:jc w:val="left"/>
            </w:pPr>
            <w:r>
              <w:t xml:space="preserve">Metal</w:t>
            </w:r>
          </w:p>
        </w:tc>
        <w:tc>
          <w:tcPr/>
          <w:p>
            <w:pPr>
              <w:pStyle w:val="Compact"/>
              <w:jc w:val="left"/>
            </w:pPr>
            <w:r>
              <w:t xml:space="preserve">Battery Production</w:t>
            </w:r>
          </w:p>
        </w:tc>
        <w:tc>
          <w:tcPr/>
          <w:p>
            <w:pPr>
              <w:pStyle w:val="Compact"/>
              <w:jc w:val="left"/>
            </w:pPr>
            <w:r>
              <w:t xml:space="preserve">0.050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0.750</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0.020</w:t>
            </w:r>
          </w:p>
        </w:tc>
        <w:tc>
          <w:tcPr/>
          <w:p>
            <w:pPr>
              <w:pStyle w:val="Compact"/>
              <w:jc w:val="left"/>
            </w:pPr>
            <w:r>
              <w:t xml:space="preserve">kg</w:t>
            </w:r>
          </w:p>
        </w:tc>
        <w:tc>
          <w:tcPr/>
          <w:p>
            <w:pPr>
              <w:pStyle w:val="Compact"/>
              <w:jc w:val="left"/>
            </w:pPr>
            <w:r>
              <w:t xml:space="preserve">3.00</w:t>
            </w:r>
          </w:p>
        </w:tc>
        <w:tc>
          <w:tcPr/>
          <w:p>
            <w:pPr>
              <w:pStyle w:val="Compact"/>
              <w:jc w:val="left"/>
            </w:pPr>
            <w:r>
              <w:t xml:space="preserve">0.060</w:t>
            </w:r>
          </w:p>
        </w:tc>
      </w:tr>
      <w:tr>
        <w:tc>
          <w:tcPr/>
          <w:p>
            <w:pPr>
              <w:pStyle w:val="Compact"/>
              <w:jc w:val="left"/>
            </w:pPr>
            <w:r>
              <w:t xml:space="preserve">M5</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Semiconductor Assembly</w:t>
            </w:r>
          </w:p>
        </w:tc>
        <w:tc>
          <w:tcPr/>
          <w:p>
            <w:pPr>
              <w:pStyle w:val="Compact"/>
              <w:jc w:val="left"/>
            </w:pPr>
            <w:r>
              <w:t xml:space="preserve">0.005</w:t>
            </w:r>
          </w:p>
        </w:tc>
        <w:tc>
          <w:tcPr/>
          <w:p>
            <w:pPr>
              <w:pStyle w:val="Compact"/>
              <w:jc w:val="left"/>
            </w:pPr>
            <w:r>
              <w:t xml:space="preserve">kg</w:t>
            </w:r>
          </w:p>
        </w:tc>
        <w:tc>
          <w:tcPr/>
          <w:p>
            <w:pPr>
              <w:pStyle w:val="Compact"/>
              <w:jc w:val="left"/>
            </w:pPr>
            <w:r>
              <w:t xml:space="preserve">50.00</w:t>
            </w:r>
          </w:p>
        </w:tc>
        <w:tc>
          <w:tcPr/>
          <w:p>
            <w:pPr>
              <w:pStyle w:val="Compact"/>
              <w:jc w:val="left"/>
            </w:pPr>
            <w:r>
              <w:t xml:space="preserve">0.250</w:t>
            </w:r>
          </w:p>
        </w:tc>
      </w:tr>
      <w:tr>
        <w:tc>
          <w:tcPr/>
          <w:p>
            <w:pPr>
              <w:pStyle w:val="Compact"/>
              <w:jc w:val="left"/>
            </w:pPr>
            <w:r>
              <w:t xml:space="preserve">P1</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Paperboard Production</w:t>
            </w:r>
          </w:p>
        </w:tc>
        <w:tc>
          <w:tcPr/>
          <w:p>
            <w:pPr>
              <w:pStyle w:val="Compact"/>
              <w:jc w:val="left"/>
            </w:pPr>
            <w:r>
              <w:t xml:space="preserve">0.030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0.030</w:t>
            </w:r>
          </w:p>
        </w:tc>
      </w:tr>
      <w:tr>
        <w:tc>
          <w:tcPr/>
          <w:p>
            <w:pPr>
              <w:pStyle w:val="Compact"/>
              <w:jc w:val="left"/>
            </w:pPr>
            <w:r>
              <w:t xml:space="preserve">P2</w:t>
            </w:r>
          </w:p>
        </w:tc>
        <w:tc>
          <w:tcPr/>
          <w:p>
            <w:pPr>
              <w:pStyle w:val="Compact"/>
              <w:jc w:val="left"/>
            </w:pPr>
            <w:r>
              <w:t xml:space="preserve">PE Protective Film</w:t>
            </w:r>
          </w:p>
        </w:tc>
        <w:tc>
          <w:tcPr/>
          <w:p>
            <w:pPr>
              <w:pStyle w:val="Compact"/>
              <w:jc w:val="left"/>
            </w:pPr>
            <w:r>
              <w:t xml:space="preserve">Plastic</w:t>
            </w:r>
          </w:p>
        </w:tc>
        <w:tc>
          <w:tcPr/>
          <w:p>
            <w:pPr>
              <w:pStyle w:val="Compact"/>
              <w:jc w:val="left"/>
            </w:pPr>
            <w:r>
              <w:t xml:space="preserve">Film Extrusion</w:t>
            </w:r>
          </w:p>
        </w:tc>
        <w:tc>
          <w:tcPr/>
          <w:p>
            <w:pPr>
              <w:pStyle w:val="Compact"/>
              <w:jc w:val="left"/>
            </w:pPr>
            <w:r>
              <w:t xml:space="preserve">0.002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0.004</w:t>
            </w:r>
          </w:p>
        </w:tc>
      </w:tr>
    </w:tbl>
    <w:p>
      <w:pPr>
        <w:pStyle w:val="BodyText"/>
      </w:pPr>
      <w:r>
        <w:rPr>
          <w:bCs/>
          <w:b/>
        </w:rPr>
        <w:t xml:space="preserve">Total Material Carbon Footprint:</w:t>
      </w:r>
      <w:r>
        <w:t xml:space="preserve"> </w:t>
      </w:r>
      <w:r>
        <w:t xml:space="preserve">2.269 kg CO2e</w:t>
      </w:r>
    </w:p>
    <w:p>
      <w:pPr>
        <w:pStyle w:val="BodyText"/>
      </w:pPr>
      <w:r>
        <w:rPr>
          <w:bCs/>
          <w:b/>
        </w:rPr>
        <w:t xml:space="preserve">Total Product Mass (excluding packaging):</w:t>
      </w:r>
      <w:r>
        <w:t xml:space="preserve"> </w:t>
      </w:r>
      <w:r>
        <w:t xml:space="preserve">0.225 kg</w:t>
      </w:r>
    </w:p>
    <w:p>
      <w:pPr>
        <w:pStyle w:val="BodyText"/>
      </w:pPr>
      <w:r>
        <w:rPr>
          <w:bCs/>
          <w:b/>
        </w:rPr>
        <w:t xml:space="preserve">Total Product Mass (including packaging, for transport):</w:t>
      </w:r>
      <w:r>
        <w:t xml:space="preserve"> </w:t>
      </w:r>
      <w:r>
        <w:t xml:space="preserve">0.257 kg</w:t>
      </w:r>
    </w:p>
    <w:bookmarkEnd w:id="28"/>
    <w:bookmarkStart w:id="29" w:name="energy-inputs-production-phase"/>
    <w:p>
      <w:pPr>
        <w:pStyle w:val="Heading3"/>
      </w:pPr>
      <w:r>
        <w:t xml:space="preserve">3.2. Energy Inputs (Production Phase)</w:t>
      </w:r>
    </w:p>
    <w:p>
      <w:pPr>
        <w:numPr>
          <w:ilvl w:val="0"/>
          <w:numId w:val="1004"/>
        </w:numPr>
        <w:pStyle w:val="Compact"/>
      </w:pPr>
      <w:r>
        <w:rPr>
          <w:bCs/>
          <w:b/>
        </w:rPr>
        <w:t xml:space="preserve">Energy Intensity (kWh/unit - yymjwjsvsy):</w:t>
      </w:r>
      <w:r>
        <w:t xml:space="preserve"> </w:t>
      </w:r>
      <w:r>
        <w:t xml:space="preserve">1.5 kWh/unit</w:t>
      </w:r>
    </w:p>
    <w:p>
      <w:pPr>
        <w:numPr>
          <w:ilvl w:val="0"/>
          <w:numId w:val="1004"/>
        </w:numPr>
        <w:pStyle w:val="Compact"/>
      </w:pPr>
      <w:r>
        <w:rPr>
          <w:bCs/>
          <w:b/>
        </w:rPr>
        <w:t xml:space="preserve">Renewable Energy Usage (jkpomzlssx):</w:t>
      </w:r>
      <w:r>
        <w:t xml:space="preserve"> </w:t>
      </w:r>
      <w:r>
        <w:t xml:space="preserve">50%</w:t>
      </w:r>
    </w:p>
    <w:p>
      <w:pPr>
        <w:numPr>
          <w:ilvl w:val="0"/>
          <w:numId w:val="1004"/>
        </w:numPr>
        <w:pStyle w:val="Compact"/>
      </w:pPr>
      <w:r>
        <w:rPr>
          <w:bCs/>
          <w:b/>
        </w:rPr>
        <w:t xml:space="preserve">Non-Renewable Energy Source:</w:t>
      </w:r>
      <w:r>
        <w:t xml:space="preserve"> </w:t>
      </w:r>
      <w:r>
        <w:t xml:space="preserve">China Grid Electricity</w:t>
      </w:r>
    </w:p>
    <w:p>
      <w:pPr>
        <w:numPr>
          <w:ilvl w:val="0"/>
          <w:numId w:val="1004"/>
        </w:numPr>
        <w:pStyle w:val="Compact"/>
      </w:pPr>
      <w:r>
        <w:rPr>
          <w:bCs/>
          <w:b/>
        </w:rPr>
        <w:t xml:space="preserve">Emission Factor (China Grid Electricity):</w:t>
      </w:r>
      <w:r>
        <w:t xml:space="preserve"> </w:t>
      </w:r>
      <w:r>
        <w:t xml:space="preserve">0.6 kg CO2e/kWh</w:t>
      </w:r>
    </w:p>
    <w:p>
      <w:pPr>
        <w:numPr>
          <w:ilvl w:val="0"/>
          <w:numId w:val="1004"/>
        </w:numPr>
        <w:pStyle w:val="Compact"/>
      </w:pPr>
      <w:r>
        <w:rPr>
          <w:bCs/>
          <w:b/>
        </w:rPr>
        <w:t xml:space="preserve">Emission Factor (Renewable Electricity):</w:t>
      </w:r>
      <w:r>
        <w:t xml:space="preserve"> </w:t>
      </w:r>
      <w:r>
        <w:t xml:space="preserve">0 kg CO2e/kWh (assuming directly purchased or self-generated zero-emission electricity)</w:t>
      </w:r>
    </w:p>
    <w:bookmarkEnd w:id="29"/>
    <w:bookmarkStart w:id="30" w:name="logistics-data-transportation"/>
    <w:p>
      <w:pPr>
        <w:pStyle w:val="Heading3"/>
      </w:pPr>
      <w:r>
        <w:t xml:space="preserve">3.3. Logistics Data (Transportation)</w:t>
      </w:r>
    </w:p>
    <w:p>
      <w:pPr>
        <w:numPr>
          <w:ilvl w:val="0"/>
          <w:numId w:val="1005"/>
        </w:numPr>
        <w:pStyle w:val="Compact"/>
      </w:pPr>
      <w:r>
        <w:rPr>
          <w:bCs/>
          <w:b/>
        </w:rPr>
        <w:t xml:space="preserve">Primary Transport Mode (inbound/outbound - Select Mode):</w:t>
      </w:r>
      <w:r>
        <w:t xml:space="preserve"> </w:t>
      </w:r>
      <w:r>
        <w:t xml:space="preserve">Road freight (Heavy Goods Vehicle, HGV)</w:t>
      </w:r>
    </w:p>
    <w:p>
      <w:pPr>
        <w:numPr>
          <w:ilvl w:val="0"/>
          <w:numId w:val="1005"/>
        </w:numPr>
        <w:pStyle w:val="Compact"/>
      </w:pPr>
      <w:r>
        <w:rPr>
          <w:bCs/>
          <w:b/>
        </w:rPr>
        <w:t xml:space="preserve">Primary Transport Distance (umosnemnlh):</w:t>
      </w:r>
      <w:r>
        <w:t xml:space="preserve"> </w:t>
      </w:r>
      <w:r>
        <w:t xml:space="preserve">5000 km (representative for transcontinental freight from Europe-focused supply chain to China production, and then potentially back to Europe for distribution)</w:t>
      </w:r>
    </w:p>
    <w:p>
      <w:pPr>
        <w:numPr>
          <w:ilvl w:val="0"/>
          <w:numId w:val="1005"/>
        </w:numPr>
        <w:pStyle w:val="Compact"/>
      </w:pPr>
      <w:r>
        <w:rPr>
          <w:bCs/>
          <w:b/>
        </w:rPr>
        <w:t xml:space="preserve">Last-Mile Delivery Channel (Delivery Type):</w:t>
      </w:r>
      <w:r>
        <w:t xml:space="preserve"> </w:t>
      </w:r>
      <w:r>
        <w:t xml:space="preserve">Road freight (Light Commercial Vehicle, LCV / van)</w:t>
      </w:r>
    </w:p>
    <w:p>
      <w:pPr>
        <w:numPr>
          <w:ilvl w:val="0"/>
          <w:numId w:val="1005"/>
        </w:numPr>
        <w:pStyle w:val="Compact"/>
      </w:pPr>
      <w:r>
        <w:rPr>
          <w:bCs/>
          <w:b/>
        </w:rPr>
        <w:t xml:space="preserve">Assumed Last-Mile Delivery Distance:</w:t>
      </w:r>
      <w:r>
        <w:t xml:space="preserve"> </w:t>
      </w:r>
      <w:r>
        <w:t xml:space="preserve">500 km (average for regional distribution)</w:t>
      </w:r>
    </w:p>
    <w:p>
      <w:pPr>
        <w:numPr>
          <w:ilvl w:val="0"/>
          <w:numId w:val="1005"/>
        </w:numPr>
        <w:pStyle w:val="Compact"/>
      </w:pPr>
      <w:r>
        <w:rPr>
          <w:bCs/>
          <w:b/>
        </w:rPr>
        <w:t xml:space="preserve">Emission Factor (Road Freight, HGV):</w:t>
      </w:r>
      <w:r>
        <w:t xml:space="preserve"> </w:t>
      </w:r>
      <w:r>
        <w:t xml:space="preserve">0.07 kg CO2e/tonne-km</w:t>
      </w:r>
    </w:p>
    <w:p>
      <w:pPr>
        <w:numPr>
          <w:ilvl w:val="0"/>
          <w:numId w:val="1005"/>
        </w:numPr>
        <w:pStyle w:val="Compact"/>
      </w:pPr>
      <w:r>
        <w:rPr>
          <w:bCs/>
          <w:b/>
        </w:rPr>
        <w:t xml:space="preserve">Emission Factor (Road Freight, LCV/Van):</w:t>
      </w:r>
      <w:r>
        <w:t xml:space="preserve"> </w:t>
      </w:r>
      <w:r>
        <w:t xml:space="preserve">0.2 kg CO2e/tonne-km</w:t>
      </w:r>
    </w:p>
    <w:bookmarkEnd w:id="30"/>
    <w:bookmarkStart w:id="31" w:name="use-phase-data"/>
    <w:p>
      <w:pPr>
        <w:pStyle w:val="Heading3"/>
      </w:pPr>
      <w:r>
        <w:t xml:space="preserve">3.4. Use Phase Data</w:t>
      </w:r>
    </w:p>
    <w:p>
      <w:pPr>
        <w:numPr>
          <w:ilvl w:val="0"/>
          <w:numId w:val="1006"/>
        </w:numPr>
        <w:pStyle w:val="Compact"/>
      </w:pPr>
      <w:r>
        <w:rPr>
          <w:bCs/>
          <w:b/>
        </w:rPr>
        <w:t xml:space="preserve">Product Lifespan (eoolsozwhu):</w:t>
      </w:r>
      <w:r>
        <w:t xml:space="preserve"> </w:t>
      </w:r>
      <w:r>
        <w:t xml:space="preserve">3 years</w:t>
      </w:r>
    </w:p>
    <w:p>
      <w:pPr>
        <w:numPr>
          <w:ilvl w:val="0"/>
          <w:numId w:val="1006"/>
        </w:numPr>
        <w:pStyle w:val="Compact"/>
      </w:pPr>
      <w:r>
        <w:rPr>
          <w:bCs/>
          <w:b/>
        </w:rPr>
        <w:t xml:space="preserve">Energy Consumption in Use (gtzqjizloi):</w:t>
      </w:r>
      <w:r>
        <w:t xml:space="preserve"> </w:t>
      </w:r>
      <w:r>
        <w:t xml:space="preserve">10 kWh/year</w:t>
      </w:r>
    </w:p>
    <w:p>
      <w:pPr>
        <w:numPr>
          <w:ilvl w:val="0"/>
          <w:numId w:val="1006"/>
        </w:numPr>
        <w:pStyle w:val="Compact"/>
      </w:pPr>
      <w:r>
        <w:rPr>
          <w:bCs/>
          <w:b/>
        </w:rPr>
        <w:t xml:space="preserve">Total Energy Consumption over lifespan:</w:t>
      </w:r>
      <w:r>
        <w:t xml:space="preserve"> </w:t>
      </w:r>
      <w:r>
        <w:t xml:space="preserve">10 kWh/year * 3 years = 30 kWh/unit</w:t>
      </w:r>
    </w:p>
    <w:p>
      <w:pPr>
        <w:numPr>
          <w:ilvl w:val="0"/>
          <w:numId w:val="1006"/>
        </w:numPr>
        <w:pStyle w:val="Compact"/>
      </w:pPr>
      <w:r>
        <w:rPr>
          <w:bCs/>
          <w:b/>
        </w:rPr>
        <w:t xml:space="preserve">Assumed Emission Factor (European Grid Electricity for Use Phase):</w:t>
      </w:r>
      <w:r>
        <w:t xml:space="preserve"> </w:t>
      </w:r>
      <w:r>
        <w:t xml:space="preserve">0.25 kg CO2e/kWh</w:t>
      </w:r>
    </w:p>
    <w:bookmarkEnd w:id="31"/>
    <w:bookmarkStart w:id="32" w:name="end-of-life-eol-data"/>
    <w:p>
      <w:pPr>
        <w:pStyle w:val="Heading3"/>
      </w:pPr>
      <w:r>
        <w:t xml:space="preserve">3.5. End-of-Life (EoL) Data</w:t>
      </w:r>
    </w:p>
    <w:p>
      <w:pPr>
        <w:numPr>
          <w:ilvl w:val="0"/>
          <w:numId w:val="1007"/>
        </w:numPr>
        <w:pStyle w:val="Compact"/>
      </w:pPr>
      <w:r>
        <w:rPr>
          <w:bCs/>
          <w:b/>
        </w:rPr>
        <w:t xml:space="preserve">Recyclability Percentage (pyepodrjzq):</w:t>
      </w:r>
      <w:r>
        <w:t xml:space="preserve"> </w:t>
      </w:r>
      <w:r>
        <w:t xml:space="preserve">70%</w:t>
      </w:r>
    </w:p>
    <w:p>
      <w:pPr>
        <w:numPr>
          <w:ilvl w:val="0"/>
          <w:numId w:val="1007"/>
        </w:numPr>
        <w:pStyle w:val="Compact"/>
      </w:pPr>
      <w:r>
        <w:rPr>
          <w:bCs/>
          <w:b/>
        </w:rPr>
        <w:t xml:space="preserve">Circular/Take-back Programs (jumfrosgyo):</w:t>
      </w:r>
      <w:r>
        <w:t xml:space="preserve"> </w:t>
      </w:r>
      <w:r>
        <w:t xml:space="preserve">Yes, xxithlgtut operates a take-back program for end-of-life products, aiming to recover key materials and feed them back into production or other industries.</w:t>
      </w:r>
    </w:p>
    <w:p>
      <w:pPr>
        <w:numPr>
          <w:ilvl w:val="0"/>
          <w:numId w:val="1007"/>
        </w:numPr>
        <w:pStyle w:val="Compact"/>
      </w:pPr>
      <w:r>
        <w:rPr>
          <w:bCs/>
          <w:b/>
        </w:rPr>
        <w:t xml:space="preserve">Emission Factor (Landfill, non-recycled waste):</w:t>
      </w:r>
      <w:r>
        <w:t xml:space="preserve"> </w:t>
      </w:r>
      <w:r>
        <w:t xml:space="preserve">0.3 kg CO2e/kg</w:t>
      </w:r>
    </w:p>
    <w:p>
      <w:pPr>
        <w:numPr>
          <w:ilvl w:val="0"/>
          <w:numId w:val="1007"/>
        </w:numPr>
        <w:pStyle w:val="Compact"/>
      </w:pPr>
      <w:r>
        <w:rPr>
          <w:bCs/>
          <w:b/>
        </w:rPr>
        <w:t xml:space="preserve">Credit for Recycling:</w:t>
      </w:r>
      <w:r>
        <w:t xml:space="preserve"> </w:t>
      </w:r>
      <w:r>
        <w:t xml:space="preserve">Avoided virgin material production and avoided landfill. For calculation, we will consider only the non-recycled portion going to landfill.</w:t>
      </w:r>
    </w:p>
    <w:p>
      <w:r>
        <w:pict>
          <v:rect style="width:0;height:1.5pt" o:hralign="center" o:hrstd="t" o:hr="t"/>
        </w:pict>
      </w:r>
    </w:p>
    <w:bookmarkEnd w:id="32"/>
    <w:bookmarkEnd w:id="33"/>
    <w:bookmarkStart w:id="46" w:name="emission-calculation-step-4"/>
    <w:p>
      <w:pPr>
        <w:pStyle w:val="Heading2"/>
      </w:pPr>
      <w:r>
        <w:t xml:space="preserve">4. Emission Calculation (Step 4)</w:t>
      </w:r>
    </w:p>
    <w:p>
      <w:pPr>
        <w:pStyle w:val="FirstParagraph"/>
      </w:pPr>
      <w:r>
        <w:t xml:space="preserve">The total Product Carbon Footprint is calculated by summing emissions across all lifecycle stages, categorized according to the GHG Protocol\'s Scope 1, Scope 2, and Scope 3 definitions.</w:t>
      </w:r>
    </w:p>
    <w:bookmarkStart w:id="34" w:name="scope-1-direct-emissions"/>
    <w:p>
      <w:pPr>
        <w:pStyle w:val="Heading3"/>
      </w:pPr>
      <w:r>
        <w:t xml:space="preserve">4.1. Scope 1: Direct Emissions</w:t>
      </w:r>
    </w:p>
    <w:p>
      <w:pPr>
        <w:pStyle w:val="FirstParagraph"/>
      </w:pPr>
      <w:r>
        <w:t xml:space="preserve">For this product-level analysis with a "factory_gate" boundary for direct operations, Scope 1 emissions would typically include direct fuel combustion in owned vehicles or facilities. As specific operational fuel consumption data for pxezzfpokw production is not provided and the focus is on a product PCF, these are assumed to be negligible or captured within broader facility-level Scope 1 reporting.</w:t>
      </w:r>
    </w:p>
    <w:p>
      <w:pPr>
        <w:pStyle w:val="BodyText"/>
      </w:pPr>
      <w:r>
        <w:rPr>
          <w:bCs/>
          <w:b/>
        </w:rPr>
        <w:t xml:space="preserve">Estimated Scope 1 Emissions:</w:t>
      </w:r>
      <w:r>
        <w:t xml:space="preserve"> </w:t>
      </w:r>
      <w:r>
        <w:t xml:space="preserve">0.00 kg CO2e (Assumed negligible for product-specific PCF at this level of detail, typically covered in corporate inventory).</w:t>
      </w:r>
    </w:p>
    <w:bookmarkEnd w:id="34"/>
    <w:bookmarkStart w:id="35" w:name="Xb723199ec699a00f8e69a8c739729ec15ed31a7"/>
    <w:p>
      <w:pPr>
        <w:pStyle w:val="Heading3"/>
      </w:pPr>
      <w:r>
        <w:t xml:space="preserve">4.2. Scope 2: Purchased Energy Emissions (Production)</w:t>
      </w:r>
    </w:p>
    <w:p>
      <w:pPr>
        <w:pStyle w:val="FirstParagraph"/>
      </w:pPr>
      <w:r>
        <w:t xml:space="preserve">These emissions arise from the generation of purchased electricity consumed during the manufacturing phase in China.</w:t>
      </w:r>
    </w:p>
    <w:p>
      <w:pPr>
        <w:numPr>
          <w:ilvl w:val="0"/>
          <w:numId w:val="1008"/>
        </w:numPr>
        <w:pStyle w:val="Compact"/>
      </w:pPr>
      <w:r>
        <w:t xml:space="preserve">Total Energy Consumption: 1.5 kWh/unit</w:t>
      </w:r>
    </w:p>
    <w:p>
      <w:pPr>
        <w:numPr>
          <w:ilvl w:val="0"/>
          <w:numId w:val="1008"/>
        </w:numPr>
        <w:pStyle w:val="Compact"/>
      </w:pPr>
      <w:r>
        <w:t xml:space="preserve">Renewable Energy Usage: 50%</w:t>
      </w:r>
    </w:p>
    <w:p>
      <w:pPr>
        <w:numPr>
          <w:ilvl w:val="0"/>
          <w:numId w:val="1008"/>
        </w:numPr>
        <w:pStyle w:val="Compact"/>
      </w:pPr>
      <w:r>
        <w:t xml:space="preserve">Non-Renewable Energy Consumption: 1.5 kWh/unit * (1 - 0.50) = 0.75 kWh/unit</w:t>
      </w:r>
    </w:p>
    <w:p>
      <w:pPr>
        <w:numPr>
          <w:ilvl w:val="0"/>
          <w:numId w:val="1008"/>
        </w:numPr>
        <w:pStyle w:val="Compact"/>
      </w:pPr>
      <w:r>
        <w:t xml:space="preserve">Emission Factor (China Grid Electricity): 0.6 kg CO2e/kWh</w:t>
      </w:r>
    </w:p>
    <w:p>
      <w:pPr>
        <w:numPr>
          <w:ilvl w:val="0"/>
          <w:numId w:val="1008"/>
        </w:numPr>
        <w:pStyle w:val="Compact"/>
      </w:pPr>
      <w:r>
        <w:rPr>
          <w:bCs/>
          <w:b/>
        </w:rPr>
        <w:t xml:space="preserve">Scope 2 Emissions (Production):</w:t>
      </w:r>
      <w:r>
        <w:t xml:space="preserve"> </w:t>
      </w:r>
      <w:r>
        <w:t xml:space="preserve">0.75 kWh/unit * 0.6 kg CO2e/kWh = 0.45 kg CO2e/unit</w:t>
      </w:r>
    </w:p>
    <w:bookmarkEnd w:id="35"/>
    <w:bookmarkStart w:id="43" w:name="scope-3-value-chain-emissions"/>
    <w:p>
      <w:pPr>
        <w:pStyle w:val="Heading3"/>
      </w:pPr>
      <w:r>
        <w:t xml:space="preserve">4.3. Scope 3: Value Chain Emissions</w:t>
      </w:r>
    </w:p>
    <w:p>
      <w:pPr>
        <w:pStyle w:val="FirstParagraph"/>
      </w:pPr>
      <w:r>
        <w:t xml:space="preserve">Scope 3 emissions represent the most substantial portion of a product\'s carbon footprint, encompassing upstream and downstream activities. This analysis aims for at least 95% coverage as per 2026 requirements.</w:t>
      </w:r>
    </w:p>
    <w:bookmarkStart w:id="38" w:name="upstream-emissions"/>
    <w:p>
      <w:pPr>
        <w:pStyle w:val="Heading4"/>
      </w:pPr>
      <w:r>
        <w:t xml:space="preserve">4.3.1. Upstream Emissions</w:t>
      </w:r>
    </w:p>
    <w:bookmarkStart w:id="36" w:name="X56f81b443ebd89f3dffcc02b9be361636e6d140"/>
    <w:p>
      <w:pPr>
        <w:pStyle w:val="Heading5"/>
      </w:pPr>
      <w:r>
        <w:t xml:space="preserve">Material Acquisition &amp; Pre-processing (Category 1: Purchased Goods and Services)</w:t>
      </w:r>
    </w:p>
    <w:p>
      <w:pPr>
        <w:pStyle w:val="FirstParagraph"/>
      </w:pPr>
      <w:r>
        <w:t xml:space="preserve">Calculated directly from the Detailed Bill of Materials (BOM).</w:t>
      </w:r>
    </w:p>
    <w:p>
      <w:pPr>
        <w:numPr>
          <w:ilvl w:val="0"/>
          <w:numId w:val="1009"/>
        </w:numPr>
        <w:pStyle w:val="Compact"/>
      </w:pPr>
      <w:r>
        <w:rPr>
          <w:bCs/>
          <w:b/>
        </w:rPr>
        <w:t xml:space="preserve">Total Material Carbon Footprint (from BOM):</w:t>
      </w:r>
      <w:r>
        <w:t xml:space="preserve"> </w:t>
      </w:r>
      <w:r>
        <w:t xml:space="preserve">2.269 kg CO2e/unit</w:t>
      </w:r>
    </w:p>
    <w:bookmarkEnd w:id="36"/>
    <w:bookmarkStart w:id="37" w:name="X7784c8d412a2d3c2b3f8c3693a890f450cd4218"/>
    <w:p>
      <w:pPr>
        <w:pStyle w:val="Heading5"/>
      </w:pPr>
      <w:r>
        <w:t xml:space="preserve">Transportation (Category 4: Upstream Transportation and Distribution)</w:t>
      </w:r>
    </w:p>
    <w:p>
      <w:pPr>
        <w:pStyle w:val="FirstParagraph"/>
      </w:pPr>
      <w:r>
        <w:t xml:space="preserve">This includes inbound logistics for raw materials/components to the China production facility.</w:t>
      </w:r>
    </w:p>
    <w:p>
      <w:pPr>
        <w:numPr>
          <w:ilvl w:val="0"/>
          <w:numId w:val="1010"/>
        </w:numPr>
        <w:pStyle w:val="Compact"/>
      </w:pPr>
      <w:r>
        <w:t xml:space="preserve">Total Product Mass for transport: 0.257 kg (including packaging) = 0.000257 tonnes</w:t>
      </w:r>
    </w:p>
    <w:p>
      <w:pPr>
        <w:numPr>
          <w:ilvl w:val="0"/>
          <w:numId w:val="1010"/>
        </w:numPr>
        <w:pStyle w:val="Compact"/>
      </w:pPr>
      <w:r>
        <w:t xml:space="preserve">Primary Transport Mode: Road freight (HGV)</w:t>
      </w:r>
    </w:p>
    <w:p>
      <w:pPr>
        <w:numPr>
          <w:ilvl w:val="0"/>
          <w:numId w:val="1010"/>
        </w:numPr>
        <w:pStyle w:val="Compact"/>
      </w:pPr>
      <w:r>
        <w:t xml:space="preserve">Transport Distance: 5000 km</w:t>
      </w:r>
    </w:p>
    <w:p>
      <w:pPr>
        <w:numPr>
          <w:ilvl w:val="0"/>
          <w:numId w:val="1010"/>
        </w:numPr>
        <w:pStyle w:val="Compact"/>
      </w:pPr>
      <w:r>
        <w:t xml:space="preserve">Emission Factor (HGV): 0.07 kg CO2e/tonne-km</w:t>
      </w:r>
    </w:p>
    <w:p>
      <w:pPr>
        <w:numPr>
          <w:ilvl w:val="0"/>
          <w:numId w:val="1010"/>
        </w:numPr>
        <w:pStyle w:val="Compact"/>
      </w:pPr>
      <w:r>
        <w:rPr>
          <w:bCs/>
          <w:b/>
        </w:rPr>
        <w:t xml:space="preserve">Inbound Transport Emissions:</w:t>
      </w:r>
      <w:r>
        <w:t xml:space="preserve"> </w:t>
      </w:r>
      <w:r>
        <w:t xml:space="preserve">0.000257 tonnes * 5000 km * 0.07 kg CO2e/tonne-km = 0.090 kg CO2e/unit</w:t>
      </w:r>
    </w:p>
    <w:bookmarkEnd w:id="37"/>
    <w:bookmarkEnd w:id="38"/>
    <w:bookmarkStart w:id="42" w:name="downstream-emissions"/>
    <w:p>
      <w:pPr>
        <w:pStyle w:val="Heading4"/>
      </w:pPr>
      <w:r>
        <w:t xml:space="preserve">4.3.2. Downstream Emissions</w:t>
      </w:r>
    </w:p>
    <w:bookmarkStart w:id="39" w:name="Xdd1a2002c6f8eeacf7d44678b507c7a12de24bc"/>
    <w:p>
      <w:pPr>
        <w:pStyle w:val="Heading5"/>
      </w:pPr>
      <w:r>
        <w:t xml:space="preserve">Transportation (Category 9: Downstream Transportation and Distribution)</w:t>
      </w:r>
    </w:p>
    <w:p>
      <w:pPr>
        <w:pStyle w:val="FirstParagraph"/>
      </w:pPr>
      <w:r>
        <w:t xml:space="preserve">This includes outbound logistics from the China production facility to markets (assumed Europe focused) and last-mile delivery.</w:t>
      </w:r>
    </w:p>
    <w:p>
      <w:pPr>
        <w:numPr>
          <w:ilvl w:val="0"/>
          <w:numId w:val="1011"/>
        </w:numPr>
        <w:pStyle w:val="Compact"/>
      </w:pPr>
      <w:r>
        <w:t xml:space="preserve">Total Product Mass for transport: 0.257 kg = 0.000257 tonnes</w:t>
      </w:r>
    </w:p>
    <w:p>
      <w:pPr>
        <w:numPr>
          <w:ilvl w:val="0"/>
          <w:numId w:val="1011"/>
        </w:numPr>
        <w:pStyle w:val="Compact"/>
      </w:pPr>
      <w:r>
        <w:t xml:space="preserve">Outbound Transport (similar to inbound for simplicity of estimation, e.g., to European distribution hub):</w:t>
      </w:r>
    </w:p>
    <w:p>
      <w:pPr>
        <w:numPr>
          <w:ilvl w:val="0"/>
          <w:numId w:val="1011"/>
        </w:numPr>
        <w:pStyle w:val="Compact"/>
      </w:pPr>
    </w:p>
    <w:p>
      <w:pPr>
        <w:numPr>
          <w:ilvl w:val="1"/>
          <w:numId w:val="1012"/>
        </w:numPr>
        <w:pStyle w:val="Compact"/>
      </w:pPr>
      <w:r>
        <w:t xml:space="preserve">Mode: Road freight (HGV)</w:t>
      </w:r>
    </w:p>
    <w:p>
      <w:pPr>
        <w:numPr>
          <w:ilvl w:val="1"/>
          <w:numId w:val="1012"/>
        </w:numPr>
        <w:pStyle w:val="Compact"/>
      </w:pPr>
      <w:r>
        <w:t xml:space="preserve">Distance: 5000 km</w:t>
      </w:r>
    </w:p>
    <w:p>
      <w:pPr>
        <w:numPr>
          <w:ilvl w:val="1"/>
          <w:numId w:val="1012"/>
        </w:numPr>
        <w:pStyle w:val="Compact"/>
      </w:pPr>
      <w:r>
        <w:t xml:space="preserve">Emissions: 0.000257 tonnes * 5000 km * 0.07 kg CO2e/tonne-km = 0.090 kg CO2e/unit</w:t>
      </w:r>
    </w:p>
    <w:p>
      <w:pPr>
        <w:numPr>
          <w:ilvl w:val="0"/>
          <w:numId w:val="1011"/>
        </w:numPr>
        <w:pStyle w:val="Compact"/>
      </w:pPr>
      <w:r>
        <w:t xml:space="preserve">Last-Mile Delivery:</w:t>
      </w:r>
    </w:p>
    <w:p>
      <w:pPr>
        <w:numPr>
          <w:ilvl w:val="0"/>
          <w:numId w:val="1011"/>
        </w:numPr>
        <w:pStyle w:val="Compact"/>
      </w:pPr>
    </w:p>
    <w:p>
      <w:pPr>
        <w:numPr>
          <w:ilvl w:val="1"/>
          <w:numId w:val="1013"/>
        </w:numPr>
        <w:pStyle w:val="Compact"/>
      </w:pPr>
      <w:r>
        <w:t xml:space="preserve">Mode: Road freight (LCV/van)</w:t>
      </w:r>
    </w:p>
    <w:p>
      <w:pPr>
        <w:numPr>
          <w:ilvl w:val="1"/>
          <w:numId w:val="1013"/>
        </w:numPr>
        <w:pStyle w:val="Compact"/>
      </w:pPr>
      <w:r>
        <w:t xml:space="preserve">Distance: 500 km</w:t>
      </w:r>
    </w:p>
    <w:p>
      <w:pPr>
        <w:numPr>
          <w:ilvl w:val="1"/>
          <w:numId w:val="1013"/>
        </w:numPr>
        <w:pStyle w:val="Compact"/>
      </w:pPr>
      <w:r>
        <w:t xml:space="preserve">Emission Factor (LCV/Van): 0.2 kg CO2e/tonne-km</w:t>
      </w:r>
    </w:p>
    <w:p>
      <w:pPr>
        <w:numPr>
          <w:ilvl w:val="1"/>
          <w:numId w:val="1013"/>
        </w:numPr>
        <w:pStyle w:val="Compact"/>
      </w:pPr>
      <w:r>
        <w:t xml:space="preserve">Emissions: 0.000257 tonnes * 500 km * 0.2 kg CO2e/tonne-km = 0.026 kg CO2e/unit</w:t>
      </w:r>
    </w:p>
    <w:p>
      <w:pPr>
        <w:numPr>
          <w:ilvl w:val="0"/>
          <w:numId w:val="1011"/>
        </w:numPr>
        <w:pStyle w:val="Compact"/>
      </w:pPr>
      <w:r>
        <w:rPr>
          <w:bCs/>
          <w:b/>
        </w:rPr>
        <w:t xml:space="preserve">Total Downstream Transport Emissions:</w:t>
      </w:r>
      <w:r>
        <w:t xml:space="preserve"> </w:t>
      </w:r>
      <w:r>
        <w:t xml:space="preserve">0.090 kg CO2e/unit + 0.026 kg CO2e/unit = 0.116 kg CO2e/unit</w:t>
      </w:r>
    </w:p>
    <w:bookmarkEnd w:id="39"/>
    <w:bookmarkStart w:id="40" w:name="X8d12bf184da61ed1b86eb215c14cb92288143a6"/>
    <w:p>
      <w:pPr>
        <w:pStyle w:val="Heading5"/>
      </w:pPr>
      <w:r>
        <w:t xml:space="preserve">Use Phase (Category 11: Use of Sold Products)</w:t>
      </w:r>
    </w:p>
    <w:p>
      <w:pPr>
        <w:pStyle w:val="FirstParagraph"/>
      </w:pPr>
      <w:r>
        <w:t xml:space="preserve">Emissions from electricity consumption during the product\'s lifespan.</w:t>
      </w:r>
    </w:p>
    <w:p>
      <w:pPr>
        <w:numPr>
          <w:ilvl w:val="0"/>
          <w:numId w:val="1014"/>
        </w:numPr>
        <w:pStyle w:val="Compact"/>
      </w:pPr>
      <w:r>
        <w:t xml:space="preserve">Product Lifespan: 3 years</w:t>
      </w:r>
    </w:p>
    <w:p>
      <w:pPr>
        <w:numPr>
          <w:ilvl w:val="0"/>
          <w:numId w:val="1014"/>
        </w:numPr>
        <w:pStyle w:val="Compact"/>
      </w:pPr>
      <w:r>
        <w:t xml:space="preserve">Energy Consumption in Use: 10 kWh/year</w:t>
      </w:r>
    </w:p>
    <w:p>
      <w:pPr>
        <w:numPr>
          <w:ilvl w:val="0"/>
          <w:numId w:val="1014"/>
        </w:numPr>
        <w:pStyle w:val="Compact"/>
      </w:pPr>
      <w:r>
        <w:t xml:space="preserve">Total Energy Consumption over lifespan: 10 kWh/year * 3 years = 30 kWh/unit</w:t>
      </w:r>
    </w:p>
    <w:p>
      <w:pPr>
        <w:numPr>
          <w:ilvl w:val="0"/>
          <w:numId w:val="1014"/>
        </w:numPr>
        <w:pStyle w:val="Compact"/>
      </w:pPr>
      <w:r>
        <w:t xml:space="preserve">Emission Factor (European Grid Electricity, assumed): 0.25 kg CO2e/kWh</w:t>
      </w:r>
    </w:p>
    <w:p>
      <w:pPr>
        <w:numPr>
          <w:ilvl w:val="0"/>
          <w:numId w:val="1014"/>
        </w:numPr>
        <w:pStyle w:val="Compact"/>
      </w:pPr>
      <w:r>
        <w:rPr>
          <w:bCs/>
          <w:b/>
        </w:rPr>
        <w:t xml:space="preserve">Use Phase Emissions:</w:t>
      </w:r>
      <w:r>
        <w:t xml:space="preserve"> </w:t>
      </w:r>
      <w:r>
        <w:t xml:space="preserve">30 kWh/unit * 0.25 kg CO2e/kWh = 7.50 kg CO2e/unit</w:t>
      </w:r>
    </w:p>
    <w:bookmarkEnd w:id="40"/>
    <w:bookmarkStart w:id="41" w:name="Xc4e5496ea9c23c4fd5f1a2af076b5b92fcc73fd"/>
    <w:p>
      <w:pPr>
        <w:pStyle w:val="Heading5"/>
      </w:pPr>
      <w:r>
        <w:t xml:space="preserve">End-of-Life Treatment (Category 12: End-of-Life Treatment of Sold Products)</w:t>
      </w:r>
    </w:p>
    <w:p>
      <w:pPr>
        <w:pStyle w:val="FirstParagraph"/>
      </w:pPr>
      <w:r>
        <w:t xml:space="preserve">Emissions from waste treatment, considering recyclability and circular programs.</w:t>
      </w:r>
    </w:p>
    <w:p>
      <w:pPr>
        <w:numPr>
          <w:ilvl w:val="0"/>
          <w:numId w:val="1015"/>
        </w:numPr>
        <w:pStyle w:val="Compact"/>
      </w:pPr>
      <w:r>
        <w:t xml:space="preserve">Total Product Mass (excluding packaging, for EoL): 0.225 kg</w:t>
      </w:r>
    </w:p>
    <w:p>
      <w:pPr>
        <w:numPr>
          <w:ilvl w:val="0"/>
          <w:numId w:val="1015"/>
        </w:numPr>
        <w:pStyle w:val="Compact"/>
      </w:pPr>
      <w:r>
        <w:t xml:space="preserve">Recyclability Percentage: 70%</w:t>
      </w:r>
    </w:p>
    <w:p>
      <w:pPr>
        <w:numPr>
          <w:ilvl w:val="0"/>
          <w:numId w:val="1015"/>
        </w:numPr>
        <w:pStyle w:val="Compact"/>
      </w:pPr>
      <w:r>
        <w:t xml:space="preserve">Mass to Landfill: 0.225 kg * (1 - 0.70) = 0.0675 kg</w:t>
      </w:r>
    </w:p>
    <w:p>
      <w:pPr>
        <w:numPr>
          <w:ilvl w:val="0"/>
          <w:numId w:val="1015"/>
        </w:numPr>
        <w:pStyle w:val="Compact"/>
      </w:pPr>
      <w:r>
        <w:t xml:space="preserve">Emission Factor (Landfill): 0.3 kg CO2e/kg</w:t>
      </w:r>
    </w:p>
    <w:p>
      <w:pPr>
        <w:numPr>
          <w:ilvl w:val="0"/>
          <w:numId w:val="1015"/>
        </w:numPr>
        <w:pStyle w:val="Compact"/>
      </w:pPr>
      <w:r>
        <w:rPr>
          <w:bCs/>
          <w:b/>
        </w:rPr>
        <w:t xml:space="preserve">Landfill Emissions:</w:t>
      </w:r>
      <w:r>
        <w:t xml:space="preserve"> </w:t>
      </w:r>
      <w:r>
        <w:t xml:space="preserve">0.0675 kg * 0.3 kg CO2e/kg = 0.020 kg CO2e/unit</w:t>
      </w:r>
    </w:p>
    <w:p>
      <w:pPr>
        <w:pStyle w:val="FirstParagraph"/>
      </w:pPr>
      <w:r>
        <w:rPr>
          <w:iCs/>
          <w:i/>
        </w:rPr>
        <w:t xml:space="preserve">Note on Circular Programs (jumfrosgyo):</w:t>
      </w:r>
      <w:r>
        <w:t xml:space="preserve"> </w:t>
      </w:r>
      <w:r>
        <w:t xml:space="preserve">The existence of xxithlgtut\'s take-back program for end-of-life products is crucial. While direct numerical credits for avoided virgin material are complex without specific data on recovered material quality and market displacement, the 70% recyclability incorporated above already reflects a significant reduction in waste-to-landfill emissions. The program further strengthens circularity, minimizing environmental leakage and providing potential for future virgin material displacement. For a conservative PCF, direct credits for avoided virgin material are not quantified here but acknowledged as a benefit.</w:t>
      </w:r>
    </w:p>
    <w:bookmarkEnd w:id="41"/>
    <w:bookmarkEnd w:id="42"/>
    <w:bookmarkEnd w:id="43"/>
    <w:bookmarkStart w:id="44" w:name="total-product-carbon-footprint-by-scope"/>
    <w:p>
      <w:pPr>
        <w:pStyle w:val="Heading3"/>
      </w:pPr>
      <w:r>
        <w:t xml:space="preserve">4.4. Total Product Carbon Footprint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0.450</w:t>
            </w:r>
          </w:p>
        </w:tc>
      </w:tr>
      <w:tr>
        <w:tc>
          <w:tcPr/>
          <w:p>
            <w:pPr>
              <w:pStyle w:val="Compact"/>
              <w:jc w:val="left"/>
            </w:pPr>
            <w:r>
              <w:t xml:space="preserve">Scope 3</w:t>
            </w:r>
          </w:p>
        </w:tc>
        <w:tc>
          <w:tcPr/>
          <w:p>
            <w:pPr>
              <w:pStyle w:val="Compact"/>
              <w:jc w:val="left"/>
            </w:pPr>
            <w:r>
              <w:t xml:space="preserve">Material Acquisition &amp; Pre-processing</w:t>
            </w:r>
          </w:p>
        </w:tc>
        <w:tc>
          <w:tcPr/>
          <w:p>
            <w:pPr>
              <w:pStyle w:val="Compact"/>
              <w:jc w:val="left"/>
            </w:pPr>
            <w:r>
              <w:t xml:space="preserve">2.269</w:t>
            </w:r>
          </w:p>
        </w:tc>
      </w:tr>
      <w:tr>
        <w:tc>
          <w:tcPr/>
          <w:p>
            <w:pPr>
              <w:pStyle w:val="Compact"/>
              <w:jc w:val="left"/>
            </w:pPr>
            <w:r>
              <w:t xml:space="preserve">Scope 3</w:t>
            </w:r>
          </w:p>
        </w:tc>
        <w:tc>
          <w:tcPr/>
          <w:p>
            <w:pPr>
              <w:pStyle w:val="Compact"/>
              <w:jc w:val="left"/>
            </w:pPr>
            <w:r>
              <w:t xml:space="preserve">Upstream Transportation</w:t>
            </w:r>
          </w:p>
        </w:tc>
        <w:tc>
          <w:tcPr/>
          <w:p>
            <w:pPr>
              <w:pStyle w:val="Compact"/>
              <w:jc w:val="left"/>
            </w:pPr>
            <w:r>
              <w:t xml:space="preserve">0.090</w:t>
            </w:r>
          </w:p>
        </w:tc>
      </w:tr>
      <w:tr>
        <w:tc>
          <w:tcPr/>
          <w:p>
            <w:pPr>
              <w:pStyle w:val="Compact"/>
              <w:jc w:val="left"/>
            </w:pPr>
            <w:r>
              <w:t xml:space="preserve">Scope 3</w:t>
            </w:r>
          </w:p>
        </w:tc>
        <w:tc>
          <w:tcPr/>
          <w:p>
            <w:pPr>
              <w:pStyle w:val="Compact"/>
              <w:jc w:val="left"/>
            </w:pPr>
            <w:r>
              <w:t xml:space="preserve">Downstream Transportation</w:t>
            </w:r>
          </w:p>
        </w:tc>
        <w:tc>
          <w:tcPr/>
          <w:p>
            <w:pPr>
              <w:pStyle w:val="Compact"/>
              <w:jc w:val="left"/>
            </w:pPr>
            <w:r>
              <w:t xml:space="preserve">0.116</w:t>
            </w:r>
          </w:p>
        </w:tc>
      </w:tr>
      <w:tr>
        <w:tc>
          <w:tcPr/>
          <w:p>
            <w:pPr>
              <w:pStyle w:val="Compact"/>
              <w:jc w:val="left"/>
            </w:pPr>
            <w:r>
              <w:t xml:space="preserve">Scope 3</w:t>
            </w:r>
          </w:p>
        </w:tc>
        <w:tc>
          <w:tcPr/>
          <w:p>
            <w:pPr>
              <w:pStyle w:val="Compact"/>
              <w:jc w:val="left"/>
            </w:pPr>
            <w:r>
              <w:t xml:space="preserve">Use Phase</w:t>
            </w:r>
          </w:p>
        </w:tc>
        <w:tc>
          <w:tcPr/>
          <w:p>
            <w:pPr>
              <w:pStyle w:val="Compact"/>
              <w:jc w:val="left"/>
            </w:pPr>
            <w:r>
              <w:t xml:space="preserve">7.500</w:t>
            </w:r>
          </w:p>
        </w:tc>
      </w:tr>
      <w:tr>
        <w:tc>
          <w:tcPr/>
          <w:p>
            <w:pPr>
              <w:pStyle w:val="Compact"/>
              <w:jc w:val="left"/>
            </w:pPr>
            <w:r>
              <w:t xml:space="preserve">Scope 3</w:t>
            </w:r>
          </w:p>
        </w:tc>
        <w:tc>
          <w:tcPr/>
          <w:p>
            <w:pPr>
              <w:pStyle w:val="Compact"/>
              <w:jc w:val="left"/>
            </w:pPr>
            <w:r>
              <w:t xml:space="preserve">End-of-Life Treatment</w:t>
            </w:r>
          </w:p>
        </w:tc>
        <w:tc>
          <w:tcPr/>
          <w:p>
            <w:pPr>
              <w:pStyle w:val="Compact"/>
              <w:jc w:val="left"/>
            </w:pPr>
            <w:r>
              <w:t xml:space="preserve">0.020</w:t>
            </w:r>
          </w:p>
        </w:tc>
      </w:tr>
      <w:tr>
        <w:tc>
          <w:tcPr>
            <w:gridSpan w:val="2"/>
          </w:tcPr>
          <w:p>
            <w:pPr>
              <w:pStyle w:val="Compact"/>
              <w:jc w:val="left"/>
            </w:pPr>
            <w:r>
              <w:rPr>
                <w:bCs/>
                <w:b/>
              </w:rPr>
              <w:t xml:space="preserve">Total Product Carbon Footprint</w:t>
            </w:r>
          </w:p>
        </w:tc>
        <w:tc>
          <w:tcPr/>
          <w:p>
            <w:pPr>
              <w:pStyle w:val="Compact"/>
              <w:jc w:val="left"/>
            </w:pPr>
            <w:r>
              <w:rPr>
                <w:bCs/>
                <w:b/>
              </w:rPr>
              <w:t xml:space="preserve">10.445</w:t>
            </w:r>
          </w:p>
        </w:tc>
      </w:tr>
    </w:tbl>
    <w:p>
      <w:pPr>
        <w:pStyle w:val="BodyText"/>
      </w:pPr>
      <w:r>
        <w:rPr>
          <w:bCs/>
          <w:b/>
        </w:rPr>
        <w:t xml:space="preserve">Total Product Carbon Footprint (pxezzfpokw): 10.445 kg CO2e per unit</w:t>
      </w:r>
    </w:p>
    <w:bookmarkEnd w:id="44"/>
    <w:bookmarkStart w:id="45" w:name="lsr-update-land-sector-and-removals"/>
    <w:p>
      <w:pPr>
        <w:pStyle w:val="Heading3"/>
      </w:pPr>
      <w:r>
        <w:t xml:space="preserve">4.5. 2026 LSR Update: Land Sector and Removals</w:t>
      </w:r>
    </w:p>
    <w:p>
      <w:pPr>
        <w:pStyle w:val="FirstParagraph"/>
      </w:pPr>
      <w:r>
        <w:t xml:space="preserve">The 2026 Land Sector and Removals (LSR) Standard aims to provide more comprehensive accounting for land use change and carbon removals. For pxezzfpokw, direct land use change associated with its specific material sourcing or manufacturing is assumed to be negligible and not explicitly quantified in this report due to the product\'s nature and the system boundary focus. However, the standard emphasizes transparent reporting of biomass-based materials (e.g., cardboard packaging - P1) and any associated removals or emissions from land use change in their supply chains. While the emission factor for cardboard already implicitly accounts for upstream forestry and processing, a full LSR assessment would require deeper supply chain transparency on sustainable forestry practices and potential sequestration benefits or deforestation impacts, which are beyond the scope of this detailed PCF based on aggregated EFs.</w:t>
      </w:r>
    </w:p>
    <w:p>
      <w:r>
        <w:pict>
          <v:rect style="width:0;height:1.5pt" o:hralign="center" o:hrstd="t" o:hr="t"/>
        </w:pict>
      </w:r>
    </w:p>
    <w:bookmarkEnd w:id="45"/>
    <w:bookmarkEnd w:id="46"/>
    <w:bookmarkStart w:id="50" w:name="review-report-hotspots-and-reliability"/>
    <w:p>
      <w:pPr>
        <w:pStyle w:val="Heading2"/>
      </w:pPr>
      <w:r>
        <w:t xml:space="preserve">5. Review &amp; Report (Hotspots and Reliability)</w:t>
      </w:r>
    </w:p>
    <w:bookmarkStart w:id="47" w:name="emission-hotspots"/>
    <w:p>
      <w:pPr>
        <w:pStyle w:val="Heading3"/>
      </w:pPr>
      <w:r>
        <w:t xml:space="preserve">5.1. Emission Hotspots</w:t>
      </w:r>
    </w:p>
    <w:p>
      <w:pPr>
        <w:pStyle w:val="FirstParagraph"/>
      </w:pPr>
      <w:r>
        <w:t xml:space="preserve">The PCF analysis identifies the following key emission hotspots for pxezzfpokw:</w:t>
      </w:r>
    </w:p>
    <w:p>
      <w:pPr>
        <w:numPr>
          <w:ilvl w:val="0"/>
          <w:numId w:val="1016"/>
        </w:numPr>
        <w:pStyle w:val="Compact"/>
      </w:pPr>
      <w:r>
        <w:rPr>
          <w:bCs/>
          <w:b/>
        </w:rPr>
        <w:t xml:space="preserve">Use Phase (7.500 kg CO2e):</w:t>
      </w:r>
      <w:r>
        <w:t xml:space="preserve"> </w:t>
      </w:r>
      <w:r>
        <w:t xml:space="preserve">This is the most significant hotspot, primarily driven by the electricity consumption over the product\'s 3-year lifespan. This highlights the critical importance of energy efficiency in product design and educating users on sustainable energy sourcing.</w:t>
      </w:r>
    </w:p>
    <w:p>
      <w:pPr>
        <w:numPr>
          <w:ilvl w:val="0"/>
          <w:numId w:val="1016"/>
        </w:numPr>
        <w:pStyle w:val="Compact"/>
      </w:pPr>
      <w:r>
        <w:rPr>
          <w:bCs/>
          <w:b/>
        </w:rPr>
        <w:t xml:space="preserve">Material Acquisition &amp; Pre-processing (2.269 kg CO2e):</w:t>
      </w:r>
      <w:r>
        <w:t xml:space="preserve"> </w:t>
      </w:r>
      <w:r>
        <w:t xml:space="preserve">The production of raw materials, particularly the Lithium-ion Battery and certain electronic components, contributes substantially. Optimizing material selection, increasing recycled content, and working with suppliers on low-carbon production are key levers.</w:t>
      </w:r>
    </w:p>
    <w:p>
      <w:pPr>
        <w:numPr>
          <w:ilvl w:val="0"/>
          <w:numId w:val="1016"/>
        </w:numPr>
        <w:pStyle w:val="Compact"/>
      </w:pPr>
      <w:r>
        <w:rPr>
          <w:bCs/>
          <w:b/>
        </w:rPr>
        <w:t xml:space="preserve">Purchased Electricity for Production (0.450 kg CO2e):</w:t>
      </w:r>
      <w:r>
        <w:t xml:space="preserve"> </w:t>
      </w:r>
      <w:r>
        <w:t xml:space="preserve">While xxithlgtut utilizes 50% renewable energy, the remaining grid electricity from China still contributes significantly. Increasing renewable energy procurement or investing in on-site renewables at manufacturing facilities in China would further reduce this impact.</w:t>
      </w:r>
    </w:p>
    <w:p>
      <w:pPr>
        <w:numPr>
          <w:ilvl w:val="0"/>
          <w:numId w:val="1016"/>
        </w:numPr>
        <w:pStyle w:val="Compact"/>
      </w:pPr>
      <w:r>
        <w:rPr>
          <w:bCs/>
          <w:b/>
        </w:rPr>
        <w:t xml:space="preserve">Transportation (Upstream &amp; Downstream - 0.206 kg CO2e):</w:t>
      </w:r>
      <w:r>
        <w:t xml:space="preserve"> </w:t>
      </w:r>
      <w:r>
        <w:t xml:space="preserve">Long-distance freight, particularly for the Europe-focused supply chain to China and back, is a notable contributor. Optimizing logistics routes, shifting to lower-emission transport modes (e.g., rail or sea where feasible), and increasing freight efficiency could reduce these emissions.</w:t>
      </w:r>
    </w:p>
    <w:bookmarkEnd w:id="47"/>
    <w:bookmarkStart w:id="48" w:name="data-reliability-and-limitations"/>
    <w:p>
      <w:pPr>
        <w:pStyle w:val="Heading3"/>
      </w:pPr>
      <w:r>
        <w:t xml:space="preserve">5.2. Data Reliability and Limitations</w:t>
      </w:r>
    </w:p>
    <w:p>
      <w:pPr>
        <w:pStyle w:val="FirstParagraph"/>
      </w:pPr>
      <w:r>
        <w:t xml:space="preserve">The reliability of this PCF is considered moderate to high, given the utilization of specific product parameters and a comprehensive methodology. However, certain limitations exist:</w:t>
      </w:r>
    </w:p>
    <w:p>
      <w:pPr>
        <w:numPr>
          <w:ilvl w:val="0"/>
          <w:numId w:val="1017"/>
        </w:numPr>
        <w:pStyle w:val="Compact"/>
      </w:pPr>
      <w:r>
        <w:rPr>
          <w:bCs/>
          <w:b/>
        </w:rPr>
        <w:t xml:space="preserve">Assumed Emission Factors:</w:t>
      </w:r>
      <w:r>
        <w:t xml:space="preserve"> </w:t>
      </w:r>
      <w:r>
        <w:t xml:space="preserve">Many emission factors used are based on industry averages (e.g., Ecoinvent/DEFRA equivalents) due to the lack of specific primary data for every component and process from suppliers. More precise, supplier-specific emission data would enhance accuracy.</w:t>
      </w:r>
    </w:p>
    <w:p>
      <w:pPr>
        <w:numPr>
          <w:ilvl w:val="0"/>
          <w:numId w:val="1017"/>
        </w:numPr>
        <w:pStyle w:val="Compact"/>
      </w:pPr>
      <w:r>
        <w:rPr>
          <w:bCs/>
          <w:b/>
        </w:rPr>
        <w:t xml:space="preserve">Placeholder Data:</w:t>
      </w:r>
      <w:r>
        <w:t xml:space="preserve"> </w:t>
      </w:r>
      <w:r>
        <w:t xml:space="preserve">Parameters such as "Select Mode", "umosnemnlh", "Delivery Type", "jkpomzlssx", "yymjwjsvsy", "eoolsozwhu", "gtzqjizloi", "pyepodrjzq", and "jumfrosgyo" were placeholders and thus representative assumptions were made. Using actual company-specific data for these parameters would improve the accuracy of the report significantly.</w:t>
      </w:r>
    </w:p>
    <w:p>
      <w:pPr>
        <w:numPr>
          <w:ilvl w:val="0"/>
          <w:numId w:val="1017"/>
        </w:numPr>
        <w:pStyle w:val="Compact"/>
      </w:pPr>
      <w:r>
        <w:rPr>
          <w:bCs/>
          <w:b/>
        </w:rPr>
        <w:t xml:space="preserve">Scope 1 Detail:</w:t>
      </w:r>
      <w:r>
        <w:t xml:space="preserve"> </w:t>
      </w:r>
      <w:r>
        <w:t xml:space="preserve">Direct Scope 1 emissions at the product level were assumed negligible and are generally covered by broader corporate GHG inventories.</w:t>
      </w:r>
    </w:p>
    <w:p>
      <w:pPr>
        <w:numPr>
          <w:ilvl w:val="0"/>
          <w:numId w:val="1017"/>
        </w:numPr>
        <w:pStyle w:val="Compact"/>
      </w:pPr>
      <w:r>
        <w:rPr>
          <w:bCs/>
          <w:b/>
        </w:rPr>
        <w:t xml:space="preserve">LSR Standard:</w:t>
      </w:r>
      <w:r>
        <w:t xml:space="preserve"> </w:t>
      </w:r>
      <w:r>
        <w:t xml:space="preserve">A full implementation of the 2026 LSR Standard would require more granular data on the land use associated with biomass materials in the supply chain, which was not available for this general assessment.</w:t>
      </w:r>
    </w:p>
    <w:bookmarkEnd w:id="48"/>
    <w:bookmarkStart w:id="49" w:name="recommendations-for-emission-reduction"/>
    <w:p>
      <w:pPr>
        <w:pStyle w:val="Heading3"/>
      </w:pPr>
      <w:r>
        <w:t xml:space="preserve">5.3. Recommendations for Emission Reduction</w:t>
      </w:r>
    </w:p>
    <w:p>
      <w:pPr>
        <w:pStyle w:val="FirstParagraph"/>
      </w:pPr>
      <w:r>
        <w:t xml:space="preserve">Based on the hotspot analysis, xxithlgtut should focus on the following strategies to reduce the PCF of pxezzfpokw:</w:t>
      </w:r>
    </w:p>
    <w:p>
      <w:pPr>
        <w:numPr>
          <w:ilvl w:val="0"/>
          <w:numId w:val="1018"/>
        </w:numPr>
        <w:pStyle w:val="Compact"/>
      </w:pPr>
      <w:r>
        <w:rPr>
          <w:bCs/>
          <w:b/>
        </w:rPr>
        <w:t xml:space="preserve">Enhance Use Phase Efficiency:</w:t>
      </w:r>
      <w:r>
        <w:t xml:space="preserve"> </w:t>
      </w:r>
      <w:r>
        <w:t xml:space="preserve">Invest in R&amp;D for more energy-efficient components and software optimization to minimize energy consumption during the product\'s lifespan. Consider offering users renewable energy purchasing options or carbon offsets for the use phase.</w:t>
      </w:r>
    </w:p>
    <w:p>
      <w:pPr>
        <w:numPr>
          <w:ilvl w:val="0"/>
          <w:numId w:val="1018"/>
        </w:numPr>
        <w:pStyle w:val="Compact"/>
      </w:pPr>
      <w:r>
        <w:rPr>
          <w:bCs/>
          <w:b/>
        </w:rPr>
        <w:t xml:space="preserve">Sustainable Material Sourcing:</w:t>
      </w:r>
      <w:r>
        <w:t xml:space="preserve"> </w:t>
      </w:r>
      <w:r>
        <w:t xml:space="preserve">Explore alternative, lower-carbon materials for components like batteries and plastics. Engage with suppliers to obtain product-specific environmental declarations (EPDs) and encourage the use of recycled content and renewable energy in their manufacturing processes.</w:t>
      </w:r>
    </w:p>
    <w:p>
      <w:pPr>
        <w:numPr>
          <w:ilvl w:val="0"/>
          <w:numId w:val="1018"/>
        </w:numPr>
        <w:pStyle w:val="Compact"/>
      </w:pPr>
      <w:r>
        <w:rPr>
          <w:bCs/>
          <w:b/>
        </w:rPr>
        <w:t xml:space="preserve">Increase Renewable Energy in Production:</w:t>
      </w:r>
      <w:r>
        <w:t xml:space="preserve"> </w:t>
      </w:r>
      <w:r>
        <w:t xml:space="preserve">Aim to increase the renewable energy percentage at manufacturing facilities beyond 50%, potentially through Power Purchase Agreements (PPAs) or on-site generation.</w:t>
      </w:r>
    </w:p>
    <w:p>
      <w:pPr>
        <w:numPr>
          <w:ilvl w:val="0"/>
          <w:numId w:val="1018"/>
        </w:numPr>
        <w:pStyle w:val="Compact"/>
      </w:pPr>
      <w:r>
        <w:rPr>
          <w:bCs/>
          <w:b/>
        </w:rPr>
        <w:t xml:space="preserve">Optimize Logistics:</w:t>
      </w:r>
      <w:r>
        <w:t xml:space="preserve"> </w:t>
      </w:r>
      <w:r>
        <w:t xml:space="preserve">Evaluate and optimize transportation modes and routes, prioritizing sea or rail freight over road freight for long distances where feasible. Consider localizing supply chains for certain components to reduce transport distances.</w:t>
      </w:r>
    </w:p>
    <w:p>
      <w:pPr>
        <w:numPr>
          <w:ilvl w:val="0"/>
          <w:numId w:val="1018"/>
        </w:numPr>
        <w:pStyle w:val="Compact"/>
      </w:pPr>
      <w:r>
        <w:rPr>
          <w:bCs/>
          <w:b/>
        </w:rPr>
        <w:t xml:space="preserve">Strengthen Circular Economy Initiatives:</w:t>
      </w:r>
      <w:r>
        <w:t xml:space="preserve"> </w:t>
      </w:r>
      <w:r>
        <w:t xml:space="preserve">Expand the existing take-back program to include robust material sorting, reprocessing, and reintroduction into manufacturing, effectively closing the loop and reducing demand for virgin materials. Explore product-as-a-service models to extend product life and enable easier material recovery.</w:t>
      </w:r>
    </w:p>
    <w:p>
      <w:pPr>
        <w:pStyle w:val="FirstParagraph"/>
      </w:pPr>
      <w:r>
        <w:t xml:space="preserve">This report provides a solid foundation for xxithlgtut to strategically manage and reduce the environmental impact of pxezzfpokw, aligning with global sustainability goals and the evolving requirements of the GHG Protocol.</w:t>
      </w:r>
    </w:p>
    <w:p>
      <w:r>
        <w:pict>
          <v:rect style="width:0;height:1.5pt" o:hralign="center" o:hrstd="t" o:hr="t"/>
        </w:pict>
      </w:r>
    </w:p>
    <w:p>
      <w:pPr>
        <w:pStyle w:val="FirstParagraph"/>
      </w:pPr>
      <w:r>
        <w:t xml:space="preserve">Confidential - Internal Use Only | Generated by ygmgevqpet</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pxezzfpokw</dc:title>
  <dc:creator/>
  <dc:description>Detailed Product Carbon Footprint (PCF) analysis for pxezzfpokw, a Smart IoT Device, conducted by ygmgevqpet, Senior Sustainability Consultant at xxithlgtut, adhering to GHG Protocol standards and 2026 LSR Update.</dc:description>
  <cp:keywords/>
  <dcterms:created xsi:type="dcterms:W3CDTF">2026-05-30T20:09:56Z</dcterms:created>
  <dcterms:modified xsi:type="dcterms:W3CDTF">2026-05-30T20:09:56Z</dcterms:modified>
</cp:coreProperties>
</file>

<file path=docProps/custom.xml><?xml version="1.0" encoding="utf-8"?>
<Properties xmlns="http://schemas.openxmlformats.org/officeDocument/2006/custom-properties" xmlns:vt="http://schemas.openxmlformats.org/officeDocument/2006/docPropsVTypes"/>
</file>