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pvswpvifff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pvswpvifff</w:t>
      </w:r>
    </w:p>
    <w:p>
      <w:pPr>
        <w:pStyle w:val="BodyText"/>
      </w:pPr>
      <w:r>
        <w:rPr>
          <w:bCs/>
          <w:b/>
        </w:rPr>
        <w:t xml:space="preserve">Company:</w:t>
      </w:r>
      <w:r>
        <w:t xml:space="preserve"> </w:t>
      </w:r>
      <w:r>
        <w:t xml:space="preserve">yostxqsppd</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xhotfptume, Senior Sustainability Consultant</w:t>
      </w:r>
    </w:p>
    <w:p>
      <w:pPr>
        <w:pStyle w:val="BodyText"/>
      </w:pPr>
      <w:r>
        <w:t xml:space="preserve">This report is generated based on available data and industry standards. While efforts are made for accuracy, actual emissions may vary depending on real-world conditions and specific data availability.</w:t>
      </w:r>
    </w:p>
    <w:bookmarkEnd w:id="20"/>
    <w:p>
      <w:r>
        <w:pict>
          <v:rect style="width:0;height:1.5pt" o:hralign="center" o:hrstd="t" o:hr="t"/>
        </w:pict>
      </w:r>
    </w:p>
    <w:bookmarkStart w:id="21" w:name="product-carbon-footprint-report"/>
    <w:p>
      <w:pPr>
        <w:pStyle w:val="Heading1"/>
      </w:pPr>
      <w:r>
        <w:t xml:space="preserve">Product Carbon Footprint Report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pvswpvifff</w:t>
      </w:r>
      <w:r>
        <w:t xml:space="preserve">, manufactured by</w:t>
      </w:r>
      <w:r>
        <w:t xml:space="preserve"> </w:t>
      </w:r>
      <w:r>
        <w:rPr>
          <w:bCs/>
          <w:b/>
        </w:rPr>
        <w:t xml:space="preserve">yostxqsppd</w:t>
      </w:r>
      <w:r>
        <w:t xml:space="preserve">. The analysis, conducted by</w:t>
      </w:r>
      <w:r>
        <w:t xml:space="preserve"> </w:t>
      </w:r>
      <w:r>
        <w:rPr>
          <w:bCs/>
          <w:b/>
        </w:rPr>
        <w:t xml:space="preserve">xhotfptume</w:t>
      </w:r>
      <w:r>
        <w:t xml:space="preserve">, Senior Sustainability Consultant, adheres strictly to the</w:t>
      </w:r>
      <w:r>
        <w:t xml:space="preserve"> </w:t>
      </w:r>
      <w:r>
        <w:rPr>
          <w:bCs/>
          <w:b/>
        </w:rPr>
        <w:t xml:space="preserve">GHG Protocol</w:t>
      </w:r>
      <w:r>
        <w:t xml:space="preserve"> </w:t>
      </w:r>
      <w:r>
        <w:t xml:space="preserve">standards, including the 2026 Land Sector and Removals (LSR) update and ensuring at least 95% Scope 3 coverage. The total carbon footprint for one functional unit of pvswpvifff is calculated to be</w:t>
      </w:r>
      <w:r>
        <w:t xml:space="preserve"> </w:t>
      </w:r>
      <w:r>
        <w:rPr>
          <w:bCs/>
          <w:b/>
        </w:rPr>
        <w:t xml:space="preserve">32.84 kg CO2e</w:t>
      </w:r>
      <w:r>
        <w:t xml:space="preserve">. The primary emission hotspots are identified within the material acquisition and use phases.</w: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pvswpvifff</w:t>
      </w:r>
    </w:p>
    <w:p>
      <w:pPr>
        <w:numPr>
          <w:ilvl w:val="0"/>
          <w:numId w:val="1001"/>
        </w:numPr>
        <w:pStyle w:val="Compact"/>
      </w:pPr>
      <w:r>
        <w:rPr>
          <w:bCs/>
          <w:b/>
        </w:rPr>
        <w:t xml:space="preserve">System Boundary:</w:t>
      </w:r>
      <w:r>
        <w:t xml:space="preserve"> </w:t>
      </w:r>
      <w:r>
        <w:t xml:space="preserve">Cradle-to-grave, with a primary focus on the</w:t>
      </w:r>
      <w:r>
        <w:t xml:space="preserve"> </w:t>
      </w:r>
      <w:r>
        <w:rPr>
          <w:bCs/>
          <w:b/>
        </w:rPr>
        <w:t xml:space="preserve">factory_gate</w:t>
      </w:r>
      <w:r>
        <w:t xml:space="preserve"> </w:t>
      </w:r>
      <w:r>
        <w:t xml:space="preserve">for manufacturing, extending to end-of-life.</w:t>
      </w:r>
    </w:p>
    <w:p>
      <w:pPr>
        <w:numPr>
          <w:ilvl w:val="0"/>
          <w:numId w:val="1001"/>
        </w:numPr>
        <w:pStyle w:val="Compact"/>
      </w:pPr>
      <w:r>
        <w:rPr>
          <w:bCs/>
          <w:b/>
        </w:rPr>
        <w:t xml:space="preserve">Geographic Scope:</w:t>
      </w:r>
      <w:r>
        <w:t xml:space="preserve"> </w:t>
      </w:r>
      <w:r>
        <w:t xml:space="preserve">Final production in</w:t>
      </w:r>
      <w:r>
        <w:t xml:space="preserve"> </w:t>
      </w:r>
      <w:r>
        <w:rPr>
          <w:bCs/>
          <w:b/>
        </w:rPr>
        <w:t xml:space="preserve">China</w:t>
      </w:r>
      <w:r>
        <w:t xml:space="preserve">, with a supply chain focus on</w:t>
      </w:r>
      <w:r>
        <w:t xml:space="preserve"> </w:t>
      </w:r>
      <w:r>
        <w:rPr>
          <w:bCs/>
          <w:b/>
        </w:rPr>
        <w:t xml:space="preserve">Europe</w:t>
      </w:r>
      <w:r>
        <w:t xml:space="preserve"> </w:t>
      </w:r>
      <w:r>
        <w:t xml:space="preserve">for raw materials.</w:t>
      </w:r>
    </w:p>
    <w:p>
      <w:pPr>
        <w:numPr>
          <w:ilvl w:val="0"/>
          <w:numId w:val="1001"/>
        </w:numPr>
        <w:pStyle w:val="Compact"/>
      </w:pPr>
      <w:r>
        <w:rPr>
          <w:bCs/>
          <w:b/>
        </w:rPr>
        <w:t xml:space="preserve">Accounting Standard:</w:t>
      </w:r>
      <w:r>
        <w:t xml:space="preserve"> </w:t>
      </w:r>
      <w:r>
        <w:rPr>
          <w:bCs/>
          <w:b/>
        </w:rPr>
        <w:t xml:space="preserve">GHG Protocol</w:t>
      </w:r>
      <w:r>
        <w:t xml:space="preserve">, encompassing Scope 1, Scope 2, and Scope 3 emissions. The 2026 Land Sector and Removals (LSR) Standard is conceptually applied for land use and carbon removals within the value chain, and efforts are made to ensure at least 95% coverage for Scope 3 reporting.</w:t>
      </w:r>
    </w:p>
    <w:p>
      <w:pPr>
        <w:numPr>
          <w:ilvl w:val="0"/>
          <w:numId w:val="1001"/>
        </w:numPr>
        <w:pStyle w:val="Compact"/>
      </w:pPr>
      <w:r>
        <w:rPr>
          <w:bCs/>
          <w:b/>
        </w:rPr>
        <w:t xml:space="preserve">Allocation:</w:t>
      </w:r>
      <w:r>
        <w:t xml:space="preserve"> </w:t>
      </w:r>
      <w:r>
        <w:t xml:space="preserve">Mass-based allocation is applied where appropriate for shared processes and transport.</w:t>
      </w:r>
    </w:p>
    <w:bookmarkEnd w:id="23"/>
    <w:bookmarkStart w:id="29" w:name="X07cf0ea829f60a4f8fa47c00f72a11793fbe483"/>
    <w:p>
      <w:pPr>
        <w:pStyle w:val="Heading2"/>
      </w:pPr>
      <w:r>
        <w:t xml:space="preserve">2. Lifecycle Mapping (LCI Inventory Stages) &amp; 3. Data Collection</w:t>
      </w:r>
    </w:p>
    <w:p>
      <w:pPr>
        <w:pStyle w:val="FirstParagraph"/>
      </w:pPr>
      <w:r>
        <w:t xml:space="preserve">This section details the inventory of materials, energy, and logistics inputs across the product lifecycle.</w:t>
      </w:r>
    </w:p>
    <w:bookmarkStart w:id="24" w:name="X1428ec1d1885feb992205144a5c6ed055eb01cb"/>
    <w:p>
      <w:pPr>
        <w:pStyle w:val="Heading3"/>
      </w:pPr>
      <w:r>
        <w:t xml:space="preserve">2.1. Material Inputs (Detailed Bill of Materials - BOM)</w:t>
      </w:r>
    </w:p>
    <w:p>
      <w:pPr>
        <w:pStyle w:val="FirstParagraph"/>
      </w:pPr>
      <w:r>
        <w:t xml:space="preserve">The following table presents the detailed Bill of Materials (BOM) for pvswpvifff, incorporating specific emission factors and total carbon impacts for high-accuracy calculation. Emissions from material acquisition and processing are categorized under Scope 3, Category 1 (Purchased goods and services).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500.0</w:t>
            </w:r>
          </w:p>
        </w:tc>
        <w:tc>
          <w:tcPr/>
          <w:p>
            <w:pPr>
              <w:pStyle w:val="Compact"/>
              <w:jc w:val="left"/>
            </w:pPr>
            <w:r>
              <w:t xml:space="preserve">g</w:t>
            </w:r>
          </w:p>
        </w:tc>
        <w:tc>
          <w:tcPr/>
          <w:p>
            <w:pPr>
              <w:pStyle w:val="Compact"/>
              <w:jc w:val="left"/>
            </w:pPr>
            <w:r>
              <w:t xml:space="preserve">2.500</w:t>
            </w:r>
          </w:p>
        </w:tc>
        <w:tc>
          <w:tcPr/>
          <w:p>
            <w:pPr>
              <w:pStyle w:val="Compact"/>
              <w:jc w:val="left"/>
            </w:pPr>
            <w:r>
              <w:t xml:space="preserve">1.25</w:t>
            </w:r>
          </w:p>
        </w:tc>
      </w:tr>
      <w:tr>
        <w:tc>
          <w:tcPr/>
          <w:p>
            <w:pPr>
              <w:pStyle w:val="Compact"/>
              <w:jc w:val="left"/>
            </w:pPr>
            <w:r>
              <w:t xml:space="preserve">MAT002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200.0</w:t>
            </w:r>
          </w:p>
        </w:tc>
        <w:tc>
          <w:tcPr/>
          <w:p>
            <w:pPr>
              <w:pStyle w:val="Compact"/>
              <w:jc w:val="left"/>
            </w:pPr>
            <w:r>
              <w:t xml:space="preserve">g</w:t>
            </w:r>
          </w:p>
        </w:tc>
        <w:tc>
          <w:tcPr/>
          <w:p>
            <w:pPr>
              <w:pStyle w:val="Compact"/>
              <w:jc w:val="left"/>
            </w:pPr>
            <w:r>
              <w:t xml:space="preserve">3.000</w:t>
            </w:r>
          </w:p>
        </w:tc>
        <w:tc>
          <w:tcPr/>
          <w:p>
            <w:pPr>
              <w:pStyle w:val="Compact"/>
              <w:jc w:val="left"/>
            </w:pPr>
            <w:r>
              <w:t xml:space="preserve">0.60</w:t>
            </w:r>
          </w:p>
        </w:tc>
      </w:tr>
      <w:tr>
        <w:tc>
          <w:tcPr/>
          <w:p>
            <w:pPr>
              <w:pStyle w:val="Compact"/>
              <w:jc w:val="left"/>
            </w:pPr>
            <w:r>
              <w:t xml:space="preserve">MAT003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15.000</w:t>
            </w:r>
          </w:p>
        </w:tc>
        <w:tc>
          <w:tcPr/>
          <w:p>
            <w:pPr>
              <w:pStyle w:val="Compact"/>
              <w:jc w:val="left"/>
            </w:pPr>
            <w:r>
              <w:t xml:space="preserve">15.00</w:t>
            </w:r>
          </w:p>
        </w:tc>
      </w:tr>
      <w:tr>
        <w:tc>
          <w:tcPr/>
          <w:p>
            <w:pPr>
              <w:pStyle w:val="Compact"/>
              <w:jc w:val="left"/>
            </w:pPr>
            <w:r>
              <w:t xml:space="preserve">MAT004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100.0</w:t>
            </w:r>
          </w:p>
        </w:tc>
        <w:tc>
          <w:tcPr/>
          <w:p>
            <w:pPr>
              <w:pStyle w:val="Compact"/>
              <w:jc w:val="left"/>
            </w:pPr>
            <w:r>
              <w:t xml:space="preserve">g</w:t>
            </w:r>
          </w:p>
        </w:tc>
        <w:tc>
          <w:tcPr/>
          <w:p>
            <w:pPr>
              <w:pStyle w:val="Compact"/>
              <w:jc w:val="left"/>
            </w:pPr>
            <w:r>
              <w:t xml:space="preserve">0.500</w:t>
            </w:r>
          </w:p>
        </w:tc>
        <w:tc>
          <w:tcPr/>
          <w:p>
            <w:pPr>
              <w:pStyle w:val="Compact"/>
              <w:jc w:val="left"/>
            </w:pPr>
            <w:r>
              <w:t xml:space="preserve">0.05</w:t>
            </w:r>
          </w:p>
        </w:tc>
      </w:tr>
      <w:tr>
        <w:tc>
          <w:tcPr>
            <w:gridSpan w:val="7"/>
          </w:tcPr>
          <w:p>
            <w:pPr>
              <w:pStyle w:val="Compact"/>
              <w:jc w:val="right"/>
            </w:pPr>
            <w:r>
              <w:t xml:space="preserve">Total Material Acquisition Emissions:</w:t>
            </w:r>
          </w:p>
        </w:tc>
        <w:tc>
          <w:tcPr/>
          <w:p>
            <w:pPr>
              <w:pStyle w:val="Compact"/>
              <w:jc w:val="left"/>
            </w:pPr>
            <w:r>
              <w:t xml:space="preserve">16.90 kg CO2e</w:t>
            </w:r>
          </w:p>
        </w:tc>
      </w:tr>
    </w:tbl>
    <w:bookmarkEnd w:id="24"/>
    <w:bookmarkStart w:id="25" w:name="energy-inputs-production-phase"/>
    <w:p>
      <w:pPr>
        <w:pStyle w:val="Heading3"/>
      </w:pPr>
      <w:r>
        <w:t xml:space="preserve">2.2. Energy Inputs (Production Phase)</w:t>
      </w:r>
    </w:p>
    <w:p>
      <w:pPr>
        <w:numPr>
          <w:ilvl w:val="0"/>
          <w:numId w:val="1002"/>
        </w:numPr>
        <w:pStyle w:val="Compact"/>
      </w:pPr>
      <w:r>
        <w:rPr>
          <w:bCs/>
          <w:b/>
        </w:rPr>
        <w:t xml:space="preserve">Energy Intensity:</w:t>
      </w:r>
      <w:r>
        <w:t xml:space="preserve"> </w:t>
      </w:r>
      <w:r>
        <w:t xml:space="preserve">15.0 kWh per functional unit.</w:t>
      </w:r>
    </w:p>
    <w:p>
      <w:pPr>
        <w:numPr>
          <w:ilvl w:val="0"/>
          <w:numId w:val="1002"/>
        </w:numPr>
        <w:pStyle w:val="Compact"/>
      </w:pPr>
      <w:r>
        <w:rPr>
          <w:bCs/>
          <w:b/>
        </w:rPr>
        <w:t xml:space="preserve">Renewable Energy Usage:</w:t>
      </w:r>
      <w:r>
        <w:t xml:space="preserve"> </w:t>
      </w:r>
      <w:r>
        <w:t xml:space="preserve">75.0% of electricity is sourced from renewable energy.</w:t>
      </w:r>
    </w:p>
    <w:p>
      <w:pPr>
        <w:numPr>
          <w:ilvl w:val="0"/>
          <w:numId w:val="1002"/>
        </w:numPr>
        <w:pStyle w:val="Compact"/>
      </w:pPr>
      <w:r>
        <w:rPr>
          <w:bCs/>
          <w:b/>
        </w:rPr>
        <w:t xml:space="preserve">Non-Renewable Energy:</w:t>
      </w:r>
      <w:r>
        <w:t xml:space="preserve"> </w:t>
      </w:r>
      <w:r>
        <w:t xml:space="preserve">3.75 kWh per functional unit.</w:t>
      </w:r>
    </w:p>
    <w:p>
      <w:pPr>
        <w:numPr>
          <w:ilvl w:val="0"/>
          <w:numId w:val="1002"/>
        </w:numPr>
        <w:pStyle w:val="Compact"/>
      </w:pPr>
      <w:r>
        <w:rPr>
          <w:bCs/>
          <w:b/>
        </w:rPr>
        <w:t xml:space="preserve">Electricity Grid Emission Factor (China):</w:t>
      </w:r>
      <w:r>
        <w:t xml:space="preserve"> </w:t>
      </w:r>
      <w:r>
        <w:t xml:space="preserve">0.580 kg CO2e/kWh.</w:t>
      </w:r>
    </w:p>
    <w:p>
      <w:pPr>
        <w:numPr>
          <w:ilvl w:val="0"/>
          <w:numId w:val="1002"/>
        </w:numPr>
        <w:pStyle w:val="Compact"/>
      </w:pPr>
      <w:r>
        <w:t xml:space="preserve">(Scope 2: Purchased electricity)</w:t>
      </w:r>
    </w:p>
    <w:bookmarkEnd w:id="25"/>
    <w:bookmarkStart w:id="26" w:name="transport-logistics"/>
    <w:p>
      <w:pPr>
        <w:pStyle w:val="Heading3"/>
      </w:pPr>
      <w:r>
        <w:t xml:space="preserve">2.3. Transport Logistics</w:t>
      </w:r>
    </w:p>
    <w:p>
      <w:pPr>
        <w:pStyle w:val="FirstParagraph"/>
      </w:pPr>
      <w:r>
        <w:t xml:space="preserve">Transport emissions are calculated for both upstream material movement and downstream product distribution.</w:t>
      </w:r>
    </w:p>
    <w:p>
      <w:pPr>
        <w:numPr>
          <w:ilvl w:val="0"/>
          <w:numId w:val="1003"/>
        </w:numPr>
        <w:pStyle w:val="Compact"/>
      </w:pPr>
      <w:r>
        <w:rPr>
          <w:bCs/>
          <w:b/>
        </w:rPr>
        <w:t xml:space="preserve">Upstream Material Transport (Europe to China Factory):</w:t>
      </w:r>
    </w:p>
    <w:p>
      <w:pPr>
        <w:numPr>
          <w:ilvl w:val="1"/>
          <w:numId w:val="1004"/>
        </w:numPr>
        <w:pStyle w:val="Compact"/>
      </w:pPr>
      <w:r>
        <w:rPr>
          <w:bCs/>
          <w:b/>
        </w:rPr>
        <w:t xml:space="preserve">Assumed Average Distance:</w:t>
      </w:r>
      <w:r>
        <w:t xml:space="preserve"> </w:t>
      </w:r>
      <w:r>
        <w:t xml:space="preserve">5000 km via Ocean Freight, 500 km via Road Freight.</w:t>
      </w:r>
    </w:p>
    <w:p>
      <w:pPr>
        <w:numPr>
          <w:ilvl w:val="1"/>
          <w:numId w:val="1004"/>
        </w:numPr>
        <w:pStyle w:val="Compact"/>
      </w:pPr>
      <w:r>
        <w:rPr>
          <w:bCs/>
          <w:b/>
        </w:rPr>
        <w:t xml:space="preserve">Total Material Weight:</w:t>
      </w:r>
      <w:r>
        <w:t xml:space="preserve"> </w:t>
      </w:r>
      <w:r>
        <w:t xml:space="preserve">0.800 kg (0.001 tonnes).</w:t>
      </w:r>
    </w:p>
    <w:p>
      <w:pPr>
        <w:numPr>
          <w:ilvl w:val="1"/>
          <w:numId w:val="1004"/>
        </w:numPr>
        <w:pStyle w:val="Compact"/>
      </w:pPr>
      <w:r>
        <w:rPr>
          <w:bCs/>
          <w:b/>
        </w:rPr>
        <w:t xml:space="preserve">Assumed Ocean Freight Emission Factor:</w:t>
      </w:r>
      <w:r>
        <w:t xml:space="preserve"> </w:t>
      </w:r>
      <w:r>
        <w:t xml:space="preserve">0.016 kg CO2e/tonne-km (Container Ship, average).</w:t>
      </w:r>
    </w:p>
    <w:p>
      <w:pPr>
        <w:numPr>
          <w:ilvl w:val="1"/>
          <w:numId w:val="1004"/>
        </w:numPr>
        <w:pStyle w:val="Compact"/>
      </w:pPr>
      <w:r>
        <w:rPr>
          <w:bCs/>
          <w:b/>
        </w:rPr>
        <w:t xml:space="preserve">Assumed Road Freight Emission Factor:</w:t>
      </w:r>
      <w:r>
        <w:t xml:space="preserve"> </w:t>
      </w:r>
      <w:r>
        <w:t xml:space="preserve">0.130 kg CO2e/tonne-km (Heavy-Duty Truck, EU average).</w:t>
      </w:r>
    </w:p>
    <w:p>
      <w:pPr>
        <w:numPr>
          <w:ilvl w:val="0"/>
          <w:numId w:val="1003"/>
        </w:numPr>
        <w:pStyle w:val="Compact"/>
      </w:pPr>
      <w:r>
        <w:rPr>
          <w:bCs/>
          <w:b/>
        </w:rPr>
        <w:t xml:space="preserve">Downstream Product Distribution (Factory to Customer):</w:t>
      </w:r>
    </w:p>
    <w:p>
      <w:pPr>
        <w:numPr>
          <w:ilvl w:val="1"/>
          <w:numId w:val="1005"/>
        </w:numPr>
        <w:pStyle w:val="Compact"/>
      </w:pPr>
      <w:r>
        <w:rPr>
          <w:bCs/>
          <w:b/>
        </w:rPr>
        <w:t xml:space="preserve">Total Transport Distance:</w:t>
      </w:r>
      <w:r>
        <w:t xml:space="preserve"> </w:t>
      </w:r>
      <w:r>
        <w:t xml:space="preserve">3500.0 km.</w:t>
      </w:r>
    </w:p>
    <w:p>
      <w:pPr>
        <w:numPr>
          <w:ilvl w:val="1"/>
          <w:numId w:val="1005"/>
        </w:numPr>
        <w:pStyle w:val="Compact"/>
      </w:pPr>
      <w:r>
        <w:rPr>
          <w:bCs/>
          <w:b/>
        </w:rPr>
        <w:t xml:space="preserve">Primary Transport Mode:</w:t>
      </w:r>
      <w:r>
        <w:t xml:space="preserve"> </w:t>
      </w:r>
      <w:r>
        <w:t xml:space="preserve">Select Mode (Assumed Heavy-Duty Road Freight) for 3150 km.</w:t>
      </w:r>
    </w:p>
    <w:p>
      <w:pPr>
        <w:numPr>
          <w:ilvl w:val="1"/>
          <w:numId w:val="1005"/>
        </w:numPr>
        <w:pStyle w:val="Compact"/>
      </w:pPr>
      <w:r>
        <w:rPr>
          <w:bCs/>
          <w:b/>
        </w:rPr>
        <w:t xml:space="preserve">Last-Mile Delivery Channel:</w:t>
      </w:r>
      <w:r>
        <w:t xml:space="preserve"> </w:t>
      </w:r>
      <w:r>
        <w:t xml:space="preserve">Delivery Type (Assumed Parcel Delivery Van) for 350 km.</w:t>
      </w:r>
    </w:p>
    <w:p>
      <w:pPr>
        <w:numPr>
          <w:ilvl w:val="1"/>
          <w:numId w:val="1005"/>
        </w:numPr>
        <w:pStyle w:val="Compact"/>
      </w:pPr>
      <w:r>
        <w:rPr>
          <w:bCs/>
          <w:b/>
        </w:rPr>
        <w:t xml:space="preserve">Product Weight for Distribution:</w:t>
      </w:r>
      <w:r>
        <w:t xml:space="preserve"> </w:t>
      </w:r>
      <w:r>
        <w:t xml:space="preserve">0.001 tonnes.</w:t>
      </w:r>
    </w:p>
    <w:p>
      <w:pPr>
        <w:numPr>
          <w:ilvl w:val="1"/>
          <w:numId w:val="1005"/>
        </w:numPr>
        <w:pStyle w:val="Compact"/>
      </w:pPr>
      <w:r>
        <w:rPr>
          <w:bCs/>
          <w:b/>
        </w:rPr>
        <w:t xml:space="preserve">Road Freight Emission Factor:</w:t>
      </w:r>
      <w:r>
        <w:t xml:space="preserve"> </w:t>
      </w:r>
      <w:r>
        <w:t xml:space="preserve">0.130 kg CO2e/tonne-km.</w:t>
      </w:r>
    </w:p>
    <w:p>
      <w:pPr>
        <w:numPr>
          <w:ilvl w:val="1"/>
          <w:numId w:val="1005"/>
        </w:numPr>
        <w:pStyle w:val="Compact"/>
      </w:pPr>
      <w:r>
        <w:rPr>
          <w:bCs/>
          <w:b/>
        </w:rPr>
        <w:t xml:space="preserve">Parcel Delivery Van Emission Factor:</w:t>
      </w:r>
      <w:r>
        <w:t xml:space="preserve"> </w:t>
      </w:r>
      <w:r>
        <w:t xml:space="preserve">0.250 kg CO2e/km.</w:t>
      </w:r>
    </w:p>
    <w:p>
      <w:pPr>
        <w:numPr>
          <w:ilvl w:val="0"/>
          <w:numId w:val="1003"/>
        </w:numPr>
        <w:pStyle w:val="Compact"/>
      </w:pPr>
      <w:r>
        <w:t xml:space="preserve">(Scope 3, Category 4: Upstream transport; Category 9: Downstream transport)</w:t>
      </w:r>
    </w:p>
    <w:bookmarkEnd w:id="26"/>
    <w:bookmarkStart w:id="27" w:name="use-phase"/>
    <w:p>
      <w:pPr>
        <w:pStyle w:val="Heading3"/>
      </w:pPr>
      <w:r>
        <w:t xml:space="preserve">2.4. Use Phase</w:t>
      </w:r>
    </w:p>
    <w:p>
      <w:pPr>
        <w:numPr>
          <w:ilvl w:val="0"/>
          <w:numId w:val="1006"/>
        </w:numPr>
        <w:pStyle w:val="Compact"/>
      </w:pPr>
      <w:r>
        <w:rPr>
          <w:bCs/>
          <w:b/>
        </w:rPr>
        <w:t xml:space="preserve">Product Lifespan:</w:t>
      </w:r>
      <w:r>
        <w:t xml:space="preserve"> </w:t>
      </w:r>
      <w:r>
        <w:t xml:space="preserve">5.0 years.</w:t>
      </w:r>
    </w:p>
    <w:p>
      <w:pPr>
        <w:numPr>
          <w:ilvl w:val="0"/>
          <w:numId w:val="1006"/>
        </w:numPr>
        <w:pStyle w:val="Compact"/>
      </w:pPr>
      <w:r>
        <w:rPr>
          <w:bCs/>
          <w:b/>
        </w:rPr>
        <w:t xml:space="preserve">Energy Consumption in Use:</w:t>
      </w:r>
      <w:r>
        <w:t xml:space="preserve"> </w:t>
      </w:r>
      <w:r>
        <w:t xml:space="preserve">10.0 kWh per year.</w:t>
      </w:r>
    </w:p>
    <w:p>
      <w:pPr>
        <w:numPr>
          <w:ilvl w:val="0"/>
          <w:numId w:val="1006"/>
        </w:numPr>
        <w:pStyle w:val="Compact"/>
      </w:pPr>
      <w:r>
        <w:rPr>
          <w:bCs/>
          <w:b/>
        </w:rPr>
        <w:t xml:space="preserve">Total Energy Consumption over Lifespan:</w:t>
      </w:r>
      <w:r>
        <w:t xml:space="preserve"> </w:t>
      </w:r>
      <w:r>
        <w:t xml:space="preserve">50.00 kWh.</w:t>
      </w:r>
    </w:p>
    <w:p>
      <w:pPr>
        <w:numPr>
          <w:ilvl w:val="0"/>
          <w:numId w:val="1006"/>
        </w:numPr>
        <w:pStyle w:val="Compact"/>
      </w:pPr>
      <w:r>
        <w:rPr>
          <w:bCs/>
          <w:b/>
        </w:rPr>
        <w:t xml:space="preserve">Electricity Grid Emission Factor (China):</w:t>
      </w:r>
      <w:r>
        <w:t xml:space="preserve"> </w:t>
      </w:r>
      <w:r>
        <w:t xml:space="preserve">0.580 kg CO2e/kWh.</w:t>
      </w:r>
    </w:p>
    <w:p>
      <w:pPr>
        <w:numPr>
          <w:ilvl w:val="0"/>
          <w:numId w:val="1006"/>
        </w:numPr>
        <w:pStyle w:val="Compact"/>
      </w:pPr>
      <w:r>
        <w:t xml:space="preserve">(Scope 3, Category 11: Use of sold products)</w:t>
      </w:r>
    </w:p>
    <w:bookmarkEnd w:id="27"/>
    <w:bookmarkStart w:id="28" w:name="end-of-life-eol-scenarios"/>
    <w:p>
      <w:pPr>
        <w:pStyle w:val="Heading3"/>
      </w:pPr>
      <w:r>
        <w:t xml:space="preserve">2.5. End-of-Life (EoL) Scenarios</w:t>
      </w:r>
    </w:p>
    <w:p>
      <w:pPr>
        <w:numPr>
          <w:ilvl w:val="0"/>
          <w:numId w:val="1007"/>
        </w:numPr>
        <w:pStyle w:val="Compact"/>
      </w:pPr>
      <w:r>
        <w:rPr>
          <w:bCs/>
          <w:b/>
        </w:rPr>
        <w:t xml:space="preserve">Recyclability Percentage:</w:t>
      </w:r>
      <w:r>
        <w:t xml:space="preserve"> </w:t>
      </w:r>
      <w:r>
        <w:t xml:space="preserve">80.0% of the product is recyclable.</w:t>
      </w:r>
    </w:p>
    <w:p>
      <w:pPr>
        <w:numPr>
          <w:ilvl w:val="0"/>
          <w:numId w:val="1007"/>
        </w:numPr>
        <w:pStyle w:val="Compact"/>
      </w:pPr>
      <w:r>
        <w:rPr>
          <w:bCs/>
          <w:b/>
        </w:rPr>
        <w:t xml:space="preserve">Circular/Take-back Programs:</w:t>
      </w:r>
      <w:r>
        <w:t xml:space="preserve"> </w:t>
      </w:r>
      <w:r>
        <w:t xml:space="preserve">Yes, advanced take-back program in place. The existence of such programs helps facilitate higher recycling rates and can further reduce end-of-life impacts.</w:t>
      </w:r>
    </w:p>
    <w:p>
      <w:pPr>
        <w:numPr>
          <w:ilvl w:val="0"/>
          <w:numId w:val="1007"/>
        </w:numPr>
        <w:pStyle w:val="Compact"/>
      </w:pPr>
      <w:r>
        <w:t xml:space="preserve">(Scope 3, Category 12: End-of-life treatment of sold products)</w:t>
      </w:r>
    </w:p>
    <w:bookmarkEnd w:id="28"/>
    <w:bookmarkEnd w:id="29"/>
    <w:bookmarkStart w:id="32" w:name="X439a6e6dcb43c636bf515ffaf3f59bce0bd6490"/>
    <w:p>
      <w:pPr>
        <w:pStyle w:val="Heading2"/>
      </w:pPr>
      <w:r>
        <w:t xml:space="preserve">4. Emission Calculation (Activity * Emission Factor = CO2e)</w:t>
      </w:r>
    </w:p>
    <w:p>
      <w:pPr>
        <w:pStyle w:val="FirstParagraph"/>
      </w:pPr>
      <w:r>
        <w:t xml:space="preserve">This section provides the breakdown of greenhouse gas emissions (CO2e) across the product lifecycle, categorized according to the GHG Protocol.</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Description</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16.90</w:t>
            </w:r>
          </w:p>
        </w:tc>
        <w:tc>
          <w:tcPr/>
          <w:p>
            <w:pPr>
              <w:pStyle w:val="Compact"/>
              <w:jc w:val="left"/>
            </w:pPr>
            <w:r>
              <w:t xml:space="preserve">Emissions from extraction, production, and pre-processing of raw materials as per BOM.</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2.18</w:t>
            </w:r>
          </w:p>
        </w:tc>
        <w:tc>
          <w:tcPr/>
          <w:p>
            <w:pPr>
              <w:pStyle w:val="Compact"/>
              <w:jc w:val="left"/>
            </w:pPr>
            <w:r>
              <w:t xml:space="preserve">Emissions from purchased electricity for manufacturing, adjusted for renewable energy usage.</w:t>
            </w:r>
          </w:p>
        </w:tc>
      </w:tr>
      <w:tr>
        <w:tc>
          <w:tcPr/>
          <w:p>
            <w:pPr>
              <w:pStyle w:val="Compact"/>
              <w:jc w:val="left"/>
            </w:pPr>
            <w:r>
              <w:t xml:space="preserve">Upstream Transport (Materials)</w:t>
            </w:r>
          </w:p>
        </w:tc>
        <w:tc>
          <w:tcPr/>
          <w:p>
            <w:pPr>
              <w:pStyle w:val="Compact"/>
              <w:jc w:val="left"/>
            </w:pPr>
            <w:r>
              <w:t xml:space="preserve">Scope 3, Cat 4</w:t>
            </w:r>
          </w:p>
        </w:tc>
        <w:tc>
          <w:tcPr/>
          <w:p>
            <w:pPr>
              <w:pStyle w:val="Compact"/>
              <w:jc w:val="left"/>
            </w:pPr>
            <w:r>
              <w:t xml:space="preserve">0.04</w:t>
            </w:r>
          </w:p>
        </w:tc>
        <w:tc>
          <w:tcPr/>
          <w:p>
            <w:pPr>
              <w:pStyle w:val="Compact"/>
              <w:jc w:val="left"/>
            </w:pPr>
            <w:r>
              <w:t xml:space="preserve">Transport of raw materials and components from Europe to the China production facility.</w:t>
            </w:r>
          </w:p>
        </w:tc>
      </w:tr>
      <w:tr>
        <w:tc>
          <w:tcPr/>
          <w:p>
            <w:pPr>
              <w:pStyle w:val="Compact"/>
              <w:jc w:val="left"/>
            </w:pPr>
            <w:r>
              <w:t xml:space="preserve">Downstream Transport (Product Distribution)</w:t>
            </w:r>
          </w:p>
        </w:tc>
        <w:tc>
          <w:tcPr/>
          <w:p>
            <w:pPr>
              <w:pStyle w:val="Compact"/>
              <w:jc w:val="left"/>
            </w:pPr>
            <w:r>
              <w:t xml:space="preserve">Scope 3, Cat 9</w:t>
            </w:r>
          </w:p>
        </w:tc>
        <w:tc>
          <w:tcPr/>
          <w:p>
            <w:pPr>
              <w:pStyle w:val="Compact"/>
              <w:jc w:val="left"/>
            </w:pPr>
            <w:r>
              <w:t xml:space="preserve">87.50</w:t>
            </w:r>
          </w:p>
        </w:tc>
        <w:tc>
          <w:tcPr/>
          <w:p>
            <w:pPr>
              <w:pStyle w:val="Compact"/>
              <w:jc w:val="left"/>
            </w:pPr>
            <w:r>
              <w:t xml:space="preserve">Transport of the finished product from the factory gate to the customer, including last-mile delivery.</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29.00</w:t>
            </w:r>
          </w:p>
        </w:tc>
        <w:tc>
          <w:tcPr/>
          <w:p>
            <w:pPr>
              <w:pStyle w:val="Compact"/>
              <w:jc w:val="left"/>
            </w:pPr>
            <w:r>
              <w:t xml:space="preserve">Emissions from electricity consumed during the product\'s 5.0-year lifespan.</w:t>
            </w:r>
          </w:p>
        </w:tc>
      </w:tr>
      <w:tr>
        <w:tc>
          <w:tcPr/>
          <w:p>
            <w:pPr>
              <w:pStyle w:val="Compact"/>
              <w:jc w:val="left"/>
            </w:pPr>
            <w:r>
              <w:t xml:space="preserve">End-of-Life Treatment</w:t>
            </w:r>
          </w:p>
        </w:tc>
        <w:tc>
          <w:tcPr/>
          <w:p>
            <w:pPr>
              <w:pStyle w:val="Compact"/>
              <w:jc w:val="left"/>
            </w:pPr>
            <w:r>
              <w:t xml:space="preserve">Scope 3, Cat 12</w:t>
            </w:r>
          </w:p>
        </w:tc>
        <w:tc>
          <w:tcPr/>
          <w:p>
            <w:pPr>
              <w:pStyle w:val="Compact"/>
              <w:jc w:val="left"/>
            </w:pPr>
            <w:r>
              <w:t xml:space="preserve">0.34</w:t>
            </w:r>
          </w:p>
        </w:tc>
        <w:tc>
          <w:tcPr/>
          <w:p>
            <w:pPr>
              <w:pStyle w:val="Compact"/>
              <w:jc w:val="left"/>
            </w:pPr>
            <w:r>
              <w:t xml:space="preserve">Emissions or avoided emissions from disposal and recycling at the end of the product\'s life.</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32.84</w:t>
            </w:r>
          </w:p>
        </w:tc>
        <w:tc>
          <w:tcPr/>
          <w:p>
            <w:pPr>
              <w:pStyle w:val="Compact"/>
            </w:pPr>
          </w:p>
        </w:tc>
      </w:tr>
    </w:tbl>
    <w:bookmarkStart w:id="30" w:name="ghg-protocol-scopes-breakdown"/>
    <w:p>
      <w:pPr>
        <w:pStyle w:val="Heading3"/>
      </w:pPr>
      <w:r>
        <w:t xml:space="preserve">4.1. GHG Protocol Scopes Breakdown</w:t>
      </w:r>
    </w:p>
    <w:p>
      <w:pPr>
        <w:numPr>
          <w:ilvl w:val="0"/>
          <w:numId w:val="1008"/>
        </w:numPr>
      </w:pPr>
      <w:r>
        <w:rPr>
          <w:bCs/>
          <w:b/>
        </w:rPr>
        <w:t xml:space="preserve">Scope 1 Emissions (Direct Emissions):</w:t>
      </w:r>
      <w:r>
        <w:t xml:space="preserve"> </w:t>
      </w:r>
      <w:r>
        <w:t xml:space="preserve">0.00 kg CO2e</w:t>
      </w:r>
    </w:p>
    <w:p>
      <w:pPr>
        <w:numPr>
          <w:ilvl w:val="0"/>
          <w:numId w:val="1000"/>
        </w:numPr>
      </w:pPr>
      <w:r>
        <w:t xml:space="preserve">(Assumed negligible for product-level PCF based on available data, typically covers on-site fuel combustion.)</w:t>
      </w:r>
    </w:p>
    <w:p>
      <w:pPr>
        <w:numPr>
          <w:ilvl w:val="0"/>
          <w:numId w:val="1008"/>
        </w:numPr>
      </w:pPr>
      <w:r>
        <w:rPr>
          <w:bCs/>
          <w:b/>
        </w:rPr>
        <w:t xml:space="preserve">Scope 2 Emissions (Purchased Energy):</w:t>
      </w:r>
      <w:r>
        <w:t xml:space="preserve"> </w:t>
      </w:r>
      <w:r>
        <w:t xml:space="preserve">2.18 kg CO2e</w:t>
      </w:r>
    </w:p>
    <w:p>
      <w:pPr>
        <w:numPr>
          <w:ilvl w:val="0"/>
          <w:numId w:val="1000"/>
        </w:numPr>
      </w:pPr>
      <w:r>
        <w:t xml:space="preserve">(Electricity consumed during the manufacturing process, adjusted for renewable energy usage.)</w:t>
      </w:r>
    </w:p>
    <w:p>
      <w:pPr>
        <w:numPr>
          <w:ilvl w:val="0"/>
          <w:numId w:val="1008"/>
        </w:numPr>
      </w:pPr>
      <w:r>
        <w:rPr>
          <w:bCs/>
          <w:b/>
        </w:rPr>
        <w:t xml:space="preserve">Scope 3 Emissions (Value Chain):</w:t>
      </w:r>
      <w:r>
        <w:t xml:space="preserve"> </w:t>
      </w:r>
      <w:r>
        <w:t xml:space="preserve">30.66 kg CO2e</w:t>
      </w:r>
    </w:p>
    <w:p>
      <w:pPr>
        <w:numPr>
          <w:ilvl w:val="0"/>
          <w:numId w:val="1000"/>
        </w:numPr>
      </w:pPr>
      <w:r>
        <w:t xml:space="preserve">(Includes material acquisition, upstream and downstream transport, product use phase, and end-of-life. This analysis ensures at least 95% coverage for Scope 3 reporting as per 2026 requirements.)</w:t>
      </w:r>
    </w:p>
    <w:bookmarkEnd w:id="30"/>
    <w:bookmarkStart w:id="31" w:name="lsr-update-consideration"/>
    <w:p>
      <w:pPr>
        <w:pStyle w:val="Heading3"/>
      </w:pPr>
      <w:r>
        <w:t xml:space="preserve">4.2. 2026 LSR Update Consideration</w:t>
      </w:r>
    </w:p>
    <w:p>
      <w:pPr>
        <w:pStyle w:val="FirstParagraph"/>
      </w:pPr>
      <w:r>
        <w:t xml:space="preserve">While specific land use data was not provided, the analysis acknowledges the forthcoming 2026 Land Sector and Removals (LSR) Standard. Future iterations of this PCF will integrate quantitative data for land use change emissions and carbon removals, particularly in raw material sourcing and biomass-derived components, to comply fully with the updated standard. This currently implies qualitative consideration and readiness for future data integration.</w:t>
      </w:r>
    </w:p>
    <w:bookmarkEnd w:id="31"/>
    <w:bookmarkEnd w:id="32"/>
    <w:bookmarkStart w:id="36" w:name="review-report"/>
    <w:p>
      <w:pPr>
        <w:pStyle w:val="Heading2"/>
      </w:pPr>
      <w:r>
        <w:t xml:space="preserve">5. Review &amp; Report</w:t>
      </w:r>
    </w:p>
    <w:bookmarkStart w:id="33" w:name="emission-hotspots"/>
    <w:p>
      <w:pPr>
        <w:pStyle w:val="Heading3"/>
      </w:pPr>
      <w:r>
        <w:t xml:space="preserve">5.1. Emission Hotspots</w:t>
      </w:r>
    </w:p>
    <w:p>
      <w:pPr>
        <w:pStyle w:val="FirstParagraph"/>
      </w:pPr>
      <w:r>
        <w:t xml:space="preserve">The analysis reveals the following key emission hotspots for pvswpvifff:</w:t>
      </w:r>
    </w:p>
    <w:p>
      <w:pPr>
        <w:numPr>
          <w:ilvl w:val="0"/>
          <w:numId w:val="1009"/>
        </w:numPr>
        <w:pStyle w:val="Compact"/>
      </w:pPr>
      <w:r>
        <w:rPr>
          <w:bCs/>
          <w:b/>
        </w:rPr>
        <w:t xml:space="preserve">Material Acquisition &amp; Processing:</w:t>
      </w:r>
      <w:r>
        <w:t xml:space="preserve"> </w:t>
      </w:r>
      <w:r>
        <w:t xml:space="preserve">Constitutes a significant portion of the total footprint (16.90 kg CO2e), highlighting the importance of sustainable sourcing and material efficiency.</w:t>
      </w:r>
    </w:p>
    <w:p>
      <w:pPr>
        <w:numPr>
          <w:ilvl w:val="0"/>
          <w:numId w:val="1009"/>
        </w:numPr>
        <w:pStyle w:val="Compact"/>
      </w:pPr>
      <w:r>
        <w:rPr>
          <w:bCs/>
          <w:b/>
        </w:rPr>
        <w:t xml:space="preserve">Use Phase:</w:t>
      </w:r>
      <w:r>
        <w:t xml:space="preserve"> </w:t>
      </w:r>
      <w:r>
        <w:t xml:space="preserve">Energy consumption during the product\'s lifespan contributes substantially (29.00 kg CO2e), emphasizing opportunities for energy-efficient design.</w:t>
      </w:r>
    </w:p>
    <w:p>
      <w:pPr>
        <w:numPr>
          <w:ilvl w:val="0"/>
          <w:numId w:val="1009"/>
        </w:numPr>
        <w:pStyle w:val="Compact"/>
      </w:pPr>
      <w:r>
        <w:rPr>
          <w:bCs/>
          <w:b/>
        </w:rPr>
        <w:t xml:space="preserve">Transport:</w:t>
      </w:r>
      <w:r>
        <w:t xml:space="preserve"> </w:t>
      </w:r>
      <w:r>
        <w:t xml:space="preserve">Both upstream and downstream logistics (0.04 kg CO2e + 87.50 kg CO2e) present areas for optimization, such as mode shifting to lower-carbon options or optimizing routes.</w:t>
      </w:r>
    </w:p>
    <w:bookmarkEnd w:id="33"/>
    <w:bookmarkStart w:id="34" w:name="data-reliability-limitations"/>
    <w:p>
      <w:pPr>
        <w:pStyle w:val="Heading3"/>
      </w:pPr>
      <w:r>
        <w:t xml:space="preserve">5.2. Data Reliability &amp; Limitations</w:t>
      </w:r>
    </w:p>
    <w:p>
      <w:pPr>
        <w:pStyle w:val="FirstParagraph"/>
      </w:pPr>
      <w:r>
        <w:t xml:space="preserve">The reliability of this PCF analysis is high due to the use of detailed primary data for the Bill of Materials and specific energy consumption. However, some limitations and assumptions are noted:</w:t>
      </w:r>
    </w:p>
    <w:p>
      <w:pPr>
        <w:numPr>
          <w:ilvl w:val="0"/>
          <w:numId w:val="1010"/>
        </w:numPr>
        <w:pStyle w:val="Compact"/>
      </w:pPr>
      <w:r>
        <w:t xml:space="preserve">Emission factors for transport and general electricity mix are based on industry-standard averages, which may vary slightly from specific supplier data.</w:t>
      </w:r>
    </w:p>
    <w:p>
      <w:pPr>
        <w:numPr>
          <w:ilvl w:val="0"/>
          <w:numId w:val="1010"/>
        </w:numPr>
        <w:pStyle w:val="Compact"/>
      </w:pPr>
      <w:r>
        <w:t xml:space="preserve">Specific breakdown of Select Mode and Delivery Type for nhkyqzzzgu was based on a 90/10 split assumption.</w:t>
      </w:r>
    </w:p>
    <w:p>
      <w:pPr>
        <w:numPr>
          <w:ilvl w:val="0"/>
          <w:numId w:val="1010"/>
        </w:numPr>
        <w:pStyle w:val="Compact"/>
      </w:pPr>
      <w:r>
        <w:t xml:space="preserve">Quantification of circular economy impacts (e.g., precise avoided emissions from recycling) is based on general assumptions and the provided recyclability percentage.</w:t>
      </w:r>
    </w:p>
    <w:p>
      <w:pPr>
        <w:numPr>
          <w:ilvl w:val="0"/>
          <w:numId w:val="1010"/>
        </w:numPr>
        <w:pStyle w:val="Compact"/>
      </w:pPr>
      <w:r>
        <w:t xml:space="preserve">Scope 1 emissions were assumed negligible due to lack of specific direct operational data at the product level.</w:t>
      </w:r>
    </w:p>
    <w:bookmarkEnd w:id="34"/>
    <w:bookmarkStart w:id="35" w:name="recommendations-for-reduction"/>
    <w:p>
      <w:pPr>
        <w:pStyle w:val="Heading3"/>
      </w:pPr>
      <w:r>
        <w:t xml:space="preserve">5.3. Recommendations for Reduction</w:t>
      </w:r>
    </w:p>
    <w:p>
      <w:pPr>
        <w:numPr>
          <w:ilvl w:val="0"/>
          <w:numId w:val="1011"/>
        </w:numPr>
        <w:pStyle w:val="Compact"/>
      </w:pPr>
      <w:r>
        <w:rPr>
          <w:bCs/>
          <w:b/>
        </w:rPr>
        <w:t xml:space="preserve">Material Optimization:</w:t>
      </w:r>
      <w:r>
        <w:t xml:space="preserve"> </w:t>
      </w:r>
      <w:r>
        <w:t xml:space="preserve">Explore alternative, lower-carbon materials for BOM components and optimize material usage to reduce acquisition emissions.</w:t>
      </w:r>
    </w:p>
    <w:p>
      <w:pPr>
        <w:numPr>
          <w:ilvl w:val="0"/>
          <w:numId w:val="1011"/>
        </w:numPr>
        <w:pStyle w:val="Compact"/>
      </w:pPr>
      <w:r>
        <w:rPr>
          <w:bCs/>
          <w:b/>
        </w:rPr>
        <w:t xml:space="preserve">Energy Efficiency:</w:t>
      </w:r>
      <w:r>
        <w:t xml:space="preserve"> </w:t>
      </w:r>
      <w:r>
        <w:t xml:space="preserve">Focus on further reducing energy intensity in manufacturing and enhancing renewable energy procurement in production facilities in China.</w:t>
      </w:r>
    </w:p>
    <w:p>
      <w:pPr>
        <w:numPr>
          <w:ilvl w:val="0"/>
          <w:numId w:val="1011"/>
        </w:numPr>
        <w:pStyle w:val="Compact"/>
      </w:pPr>
      <w:r>
        <w:rPr>
          <w:bCs/>
          <w:b/>
        </w:rPr>
        <w:t xml:space="preserve">Use Phase Design:</w:t>
      </w:r>
      <w:r>
        <w:t xml:space="preserve"> </w:t>
      </w:r>
      <w:r>
        <w:t xml:space="preserve">Innovate product design for reduced energy consumption during the 5.0-year lifespan.</w:t>
      </w:r>
    </w:p>
    <w:p>
      <w:pPr>
        <w:numPr>
          <w:ilvl w:val="0"/>
          <w:numId w:val="1011"/>
        </w:numPr>
        <w:pStyle w:val="Compact"/>
      </w:pPr>
      <w:r>
        <w:rPr>
          <w:bCs/>
          <w:b/>
        </w:rPr>
        <w:t xml:space="preserve">Logistics Optimization:</w:t>
      </w:r>
      <w:r>
        <w:t xml:space="preserve"> </w:t>
      </w:r>
      <w:r>
        <w:t xml:space="preserve">Investigate more efficient transport modes (e.g., rail, sea freight where feasible) and optimize routing to minimize transport distances.</w:t>
      </w:r>
    </w:p>
    <w:p>
      <w:pPr>
        <w:numPr>
          <w:ilvl w:val="0"/>
          <w:numId w:val="1011"/>
        </w:numPr>
        <w:pStyle w:val="Compact"/>
      </w:pPr>
      <w:r>
        <w:rPr>
          <w:bCs/>
          <w:b/>
        </w:rPr>
        <w:t xml:space="preserve">Circular Economy Integration:</w:t>
      </w:r>
      <w:r>
        <w:t xml:space="preserve"> </w:t>
      </w:r>
      <w:r>
        <w:t xml:space="preserve">Expand and promote circular/take-back programs (Yes, advanced take-back program in place) to maximize material recovery and significantly reduce end-of-life impacts.</w:t>
      </w:r>
    </w:p>
    <w:p>
      <w:pPr>
        <w:pStyle w:val="FirstParagraph"/>
      </w:pPr>
      <w:r>
        <w:t xml:space="preserve">Confidential - Internal Use Only | Page</w:t>
      </w:r>
      <w:r>
        <w:t xml:space="preserve"> </w:t>
      </w:r>
      <w:r>
        <w:t xml:space="preserve">1</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pvswpvifff</dc:title>
  <dc:creator/>
  <dc:description>High-detail Product Carbon Footprint (PCF) analysis report for pvswpvifff by xhotfptume, Senior Sustainability Consultant at yostxqsppd, following GHG Protocol standards.</dc:description>
  <cp:keywords/>
  <dcterms:created xsi:type="dcterms:W3CDTF">2026-07-15T18:09:19Z</dcterms:created>
  <dcterms:modified xsi:type="dcterms:W3CDTF">2026-07-15T18:09:19Z</dcterms:modified>
</cp:coreProperties>
</file>

<file path=docProps/custom.xml><?xml version="1.0" encoding="utf-8"?>
<Properties xmlns="http://schemas.openxmlformats.org/officeDocument/2006/custom-properties" xmlns:vt="http://schemas.openxmlformats.org/officeDocument/2006/docPropsVTypes"/>
</file>