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pujqxrdlqi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pujqxrdlqi</w:t>
      </w:r>
    </w:p>
    <w:p>
      <w:pPr>
        <w:pStyle w:val="BodyText"/>
      </w:pPr>
      <w:r>
        <w:t xml:space="preserve">Company Name:</w:t>
      </w:r>
      <w:r>
        <w:t xml:space="preserve"> </w:t>
      </w:r>
      <w:r>
        <w:rPr>
          <w:bCs/>
          <w:b/>
        </w:rPr>
        <w:t xml:space="preserve">wmnkgxghox</w:t>
      </w:r>
    </w:p>
    <w:p>
      <w:pPr>
        <w:pStyle w:val="BodyText"/>
      </w:pPr>
      <w:r>
        <w:t xml:space="preserve">Accounting Standard:</w:t>
      </w:r>
      <w:r>
        <w:t xml:space="preserve"> </w:t>
      </w:r>
      <w:r>
        <w:rPr>
          <w:bCs/>
          <w:b/>
        </w:rPr>
        <w:t xml:space="preserve">GHG Protocol</w:t>
      </w:r>
    </w:p>
    <w:p>
      <w:pPr>
        <w:pStyle w:val="BodyText"/>
      </w:pPr>
      <w:r>
        <w:t xml:space="preserve">Senior Sustainability Consultant:</w:t>
      </w:r>
      <w:r>
        <w:t xml:space="preserve"> </w:t>
      </w:r>
      <w:r>
        <w:rPr>
          <w:bCs/>
          <w:b/>
        </w:rPr>
        <w:t xml:space="preserve">ydznudktxn</w:t>
      </w:r>
    </w:p>
    <w:p>
      <w:pPr>
        <w:pStyle w:val="BodyText"/>
      </w:pPr>
      <w:r>
        <w:t xml:space="preserve">This report is generated based on available data, industry standards, and specified parameters. Assumptions have been made where specific data was not provided to enable comprehensive analysis.</w:t>
      </w:r>
    </w:p>
    <w:bookmarkEnd w:id="20"/>
    <w:bookmarkStart w:id="45" w:name="Xd68f04eedbbcc25864a513dba5554f9f4e91364"/>
    <w:p>
      <w:pPr>
        <w:pStyle w:val="Heading1"/>
      </w:pPr>
      <w:r>
        <w:t xml:space="preserve">Product Carbon Footprint Analysis for pujqxrdlqi</w:t>
      </w:r>
    </w:p>
    <w:p>
      <w:pPr>
        <w:pStyle w:val="FirstParagraph"/>
      </w:pPr>
      <w:r>
        <w:rPr>
          <w:bCs/>
          <w:b/>
        </w:rPr>
        <w:t xml:space="preserve">Generated Date:</w:t>
      </w:r>
      <w:r>
        <w:t xml:space="preserve"> </w:t>
      </w:r>
      <w:r>
        <w:t xml:space="preserve">May 23, 2026</w:t>
      </w:r>
    </w:p>
    <w:p>
      <w:pPr>
        <w:pStyle w:val="BodyText"/>
      </w:pPr>
      <w:r>
        <w:rPr>
          <w:bCs/>
          <w:b/>
        </w:rPr>
        <w:t xml:space="preserve">Senior Sustainability Consultant:</w:t>
      </w:r>
      <w:r>
        <w:t xml:space="preserve"> </w:t>
      </w:r>
      <w:r>
        <w:t xml:space="preserve">ydznudktxn</w:t>
      </w:r>
    </w:p>
    <w:p>
      <w:pPr>
        <w:pStyle w:val="BodyText"/>
      </w:pPr>
      <w:r>
        <w:rPr>
          <w:bCs/>
          <w:b/>
        </w:rPr>
        <w:t xml:space="preserve">Company Name:</w:t>
      </w:r>
      <w:r>
        <w:t xml:space="preserve"> </w:t>
      </w:r>
      <w:r>
        <w:t xml:space="preserve">wmnkgxghox</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\'pujqxrdlqi\' manufactured by \'wmnkgxghox\'. The analysis adheres strictly to the GHG Protocol, incorporating recent 2026 updates, including the Land Sector and Removals (LSR) Standard and enhanced Scope 3 reporting requirements. The total Product Carbon Footprint for one functional unit of \'pujqxrdlqi\' is calculated to be approximately</w:t>
      </w:r>
      <w:r>
        <w:t xml:space="preserve"> </w:t>
      </w:r>
      <w:r>
        <w:rPr>
          <w:bCs/>
          <w:b/>
        </w:rPr>
        <w:t xml:space="preserve">44.65 kg CO2e</w:t>
      </w:r>
      <w:r>
        <w:t xml:space="preserve">. The use phase of the product represents the most significant emissions hotspot, largely due to energy consumption over its lifespan. Material acquisition and manufacturing also contribute substantially. This analysis provides a foundational understanding for wmnkgxghox to identify key emission reduction opportunities and advance its sustainability objectives.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first step in any Product Carbon Footprint analysis is to clearly define the boundaries and parameters of the study. This ensures consistency and comparability of results.</w:t>
      </w:r>
    </w:p>
    <w:p>
      <w:pPr>
        <w:numPr>
          <w:ilvl w:val="0"/>
          <w:numId w:val="1001"/>
        </w:numPr>
        <w:pStyle w:val="Compact"/>
      </w:pPr>
      <w:r>
        <w:rPr>
          <w:bCs/>
          <w:b/>
        </w:rPr>
        <w:t xml:space="preserve">Functional Unit:</w:t>
      </w:r>
      <w:r>
        <w:t xml:space="preserve"> </w:t>
      </w:r>
      <w:r>
        <w:t xml:space="preserve">The functional unit for this PCF is defined as</w:t>
      </w:r>
      <w:r>
        <w:t xml:space="preserve"> </w:t>
      </w:r>
      <w:r>
        <w:rPr>
          <w:bCs/>
          <w:b/>
        </w:rPr>
        <w:t xml:space="preserve">1.0 unit of \'pujqxrdlqi\'</w:t>
      </w:r>
      <w:r>
        <w:t xml:space="preserve">. This unit forms the basis for all emission calculations.</w:t>
      </w:r>
    </w:p>
    <w:p>
      <w:pPr>
        <w:numPr>
          <w:ilvl w:val="0"/>
          <w:numId w:val="1001"/>
        </w:numPr>
        <w:pStyle w:val="Compact"/>
      </w:pPr>
      <w:r>
        <w:rPr>
          <w:bCs/>
          <w:b/>
        </w:rPr>
        <w:t xml:space="preserve">System Boundary:</w:t>
      </w:r>
      <w:r>
        <w:t xml:space="preserve"> </w:t>
      </w:r>
      <w:r>
        <w:t xml:space="preserve">The analysis employs a</w:t>
      </w:r>
      <w:r>
        <w:t xml:space="preserve"> </w:t>
      </w:r>
      <w:r>
        <w:rPr>
          <w:bCs/>
          <w:b/>
        </w:rPr>
        <w:t xml:space="preserve">"Cradle-to-Gate plus Use Phase and End-of-Life"</w:t>
      </w:r>
      <w:r>
        <w:t xml:space="preserve"> </w:t>
      </w:r>
      <w:r>
        <w:t xml:space="preserve">system boundary, often referred to as "Cradle-to-Grave". While the \'factory_gate\' parameter indicated a gate-to-gate perspective for initial production, a comprehensive PCF, especially under evolving GHG Protocol requirements, necessitates including downstream impacts. Thus, the system boundary encompasses raw material extraction, manufacturing (at the factory gate), transportation (upstream and downstream), the product\'s use phase, and its end-of-life treatment.</w:t>
      </w:r>
    </w:p>
    <w:p>
      <w:pPr>
        <w:numPr>
          <w:ilvl w:val="0"/>
          <w:numId w:val="1001"/>
        </w:numPr>
        <w:pStyle w:val="Compact"/>
      </w:pPr>
      <w:r>
        <w:rPr>
          <w:bCs/>
          <w:b/>
        </w:rPr>
        <w:t xml:space="preserve">Geographic Scope:</w:t>
      </w:r>
      <w:r>
        <w:t xml:space="preserve"> </w:t>
      </w:r>
      <w:r>
        <w:t xml:space="preserve">The</w:t>
      </w:r>
      <w:r>
        <w:t xml:space="preserve"> </w:t>
      </w:r>
      <w:r>
        <w:rPr>
          <w:bCs/>
          <w:b/>
        </w:rPr>
        <w:t xml:space="preserve">Final Production Country is China</w:t>
      </w:r>
      <w:r>
        <w:t xml:space="preserve">. The</w:t>
      </w:r>
      <w:r>
        <w:t xml:space="preserve"> </w:t>
      </w:r>
      <w:r>
        <w:rPr>
          <w:bCs/>
          <w:b/>
        </w:rPr>
        <w:t xml:space="preserve">Supply Chain Focus is Europe Focused</w:t>
      </w:r>
      <w:r>
        <w:t xml:space="preserve">, implying primary inbound logistics from China to Europe and subsequent distribution within Europe. The use phase emissions consider a typical European electricity mix.</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 Product Standard</w:t>
      </w:r>
      <w:r>
        <w:t xml:space="preserve"> </w:t>
      </w:r>
      <w:r>
        <w:t xml:space="preserve">(A Corporate Accounting and Reporting Standard and Corporate Value Chain (Scope 3) Accounting and Reporting Standard). This standard provides the methodological framework for quantifying and reporting greenhouse gas emissions.</w:t>
      </w:r>
    </w:p>
    <w:p>
      <w:pPr>
        <w:numPr>
          <w:ilvl w:val="0"/>
          <w:numId w:val="1001"/>
        </w:numPr>
        <w:pStyle w:val="Compact"/>
      </w:pPr>
      <w:r>
        <w:rPr>
          <w:bCs/>
          <w:b/>
        </w:rPr>
        <w:t xml:space="preserve">Allocation:</w:t>
      </w:r>
      <w:r>
        <w:t xml:space="preserve"> </w:t>
      </w:r>
      <w:r>
        <w:t xml:space="preserve">Where shared processes or co-products exist, emissions are allocated based on physical causality (e.g., mass) where direct attribution is not possible. For this product, direct attribution of materials and energy is largely feasible.</w:t>
      </w:r>
    </w:p>
    <w:p>
      <w:r>
        <w:pict>
          <v:rect style="width:0;height:1.5pt" o:hralign="center" o:hrstd="t" o:hr="t"/>
        </w:pict>
      </w:r>
    </w:p>
    <w:bookmarkEnd w:id="22"/>
    <w:bookmarkStart w:id="30" w:name="map-lifecycle-3.-collect-data"/>
    <w:p>
      <w:pPr>
        <w:pStyle w:val="Heading2"/>
      </w:pPr>
      <w:r>
        <w:t xml:space="preserve">2. Map Lifecycle &amp; 3. Collect Data</w:t>
      </w:r>
    </w:p>
    <w:p>
      <w:pPr>
        <w:pStyle w:val="FirstParagraph"/>
      </w:pPr>
      <w:r>
        <w:t xml:space="preserve">This section details the inventory of materials, energy, and processes across the lifecycle of \'pujqxrdlqi\'. Specific parameters provided by wmnkgxghox have been used, with reasonable industry-standard assumptions made for general emission factors where direct data was not available.</w:t>
      </w:r>
    </w:p>
    <w:bookmarkStart w:id="23" w:name="assumed-parameter-values-for-calculation"/>
    <w:p>
      <w:pPr>
        <w:pStyle w:val="Heading3"/>
      </w:pPr>
      <w:r>
        <w:t xml:space="preserve">Assumed Parameter Values for Calculation:</w:t>
      </w:r>
    </w:p>
    <w:p>
      <w:pPr>
        <w:pStyle w:val="FirstParagraph"/>
      </w:pPr>
      <w:r>
        <w:t xml:space="preserve">To perform the quantitative analysis, the following specific values were assumed based on the provided placeholder parameters:</w:t>
      </w:r>
    </w:p>
    <w:p>
      <w:pPr>
        <w:numPr>
          <w:ilvl w:val="0"/>
          <w:numId w:val="1002"/>
        </w:numPr>
      </w:pPr>
      <w:r>
        <w:rPr>
          <w:bCs/>
          <w:b/>
        </w:rPr>
        <w:t xml:space="preserve">Detailed Bill of Materials (BOM):</w:t>
      </w:r>
    </w:p>
    <w:p>
      <w:pPr>
        <w:numPr>
          <w:ilvl w:val="0"/>
          <w:numId w:val="1000"/>
        </w:numPr>
        <w:pStyle w:val="SourceCode"/>
      </w:pPr>
      <w:r>
        <w:rPr>
          <w:rStyle w:val="VerbatimChar"/>
        </w:rPr>
        <w:t xml:space="preserve">[</w:t>
      </w:r>
      <w:r>
        <w:br/>
      </w:r>
      <w:r>
        <w:rPr>
          <w:rStyle w:val="VerbatimChar"/>
        </w:rPr>
        <w:t xml:space="preserve">    {"ID": "M001", "Description": "Steel Casing", "Category": "Metals", "Process": "Forming", "Qty": 0.8, "Unit": "kg", "Emission Factor": 2.2, "Total Carbon": 1.76},</w:t>
      </w:r>
      <w:r>
        <w:br/>
      </w:r>
      <w:r>
        <w:rPr>
          <w:rStyle w:val="VerbatimChar"/>
        </w:rPr>
        <w:t xml:space="preserve">    {"ID": "M002", "Description": "Polymer Enclosure (ABS)", "Category": "Plastics", "Process": "Injection Molding", "Qty": 0.4, "Unit": "kg", "Emission Factor": 3.5, "Total Carbon": 1.40},</w:t>
      </w:r>
      <w:r>
        <w:br/>
      </w:r>
      <w:r>
        <w:rPr>
          <w:rStyle w:val="VerbatimChar"/>
        </w:rPr>
        <w:t xml:space="preserve">    {"ID": "M003", "Description": "Electronic Components", "Category": "Electronics", "Process": "Assembly", "Qty": 0.1, "Unit": "kg", "Emission Factor": 15.0, "Total Carbon": 1.50},</w:t>
      </w:r>
      <w:r>
        <w:br/>
      </w:r>
      <w:r>
        <w:rPr>
          <w:rStyle w:val="VerbatimChar"/>
        </w:rPr>
        <w:t xml:space="preserve">    {"ID": "M004", "Description": "Packaging (Recycled Cardboard)", "Category": "Paper &amp; Board", "Process": "Converting", "Qty": 0.2, "Unit": "kg", "Emission Factor": 0.8, "Total Carbon": 0.16}</w:t>
      </w:r>
      <w:r>
        <w:br/>
      </w:r>
      <w:r>
        <w:rPr>
          <w:rStyle w:val="VerbatimChar"/>
        </w:rPr>
        <w:t xml:space="preserve">]</w:t>
      </w:r>
    </w:p>
    <w:p>
      <w:pPr>
        <w:numPr>
          <w:ilvl w:val="0"/>
          <w:numId w:val="1000"/>
        </w:numPr>
      </w:pPr>
      <w:r>
        <w:rPr>
          <w:iCs/>
          <w:i/>
        </w:rPr>
        <w:t xml:space="preserve">Total product mass (excluding packaging for most calculations): 1.3 kg. Total product mass (including packaging for transport): 1.5 kg.</w:t>
      </w:r>
    </w:p>
    <w:p>
      <w:pPr>
        <w:numPr>
          <w:ilvl w:val="0"/>
          <w:numId w:val="1002"/>
        </w:numPr>
        <w:pStyle w:val="Compact"/>
      </w:pPr>
      <w:r>
        <w:rPr>
          <w:bCs/>
          <w:b/>
        </w:rPr>
        <w:t xml:space="preserve">Transport Mode (main leg):</w:t>
      </w:r>
      <w:r>
        <w:t xml:space="preserve"> </w:t>
      </w:r>
      <w:r>
        <w:t xml:space="preserve">Ocean Freight (Container Ship)</w:t>
      </w:r>
    </w:p>
    <w:p>
      <w:pPr>
        <w:numPr>
          <w:ilvl w:val="0"/>
          <w:numId w:val="1002"/>
        </w:numPr>
        <w:pStyle w:val="Compact"/>
      </w:pPr>
      <w:r>
        <w:rPr>
          <w:bCs/>
          <w:b/>
        </w:rPr>
        <w:t xml:space="preserve">Transport Distance (main leg):</w:t>
      </w:r>
      <w:r>
        <w:t xml:space="preserve"> </w:t>
      </w:r>
      <w:r>
        <w:t xml:space="preserve">12,000 km (Ocean Freight from China to Europe port)</w:t>
      </w:r>
    </w:p>
    <w:p>
      <w:pPr>
        <w:numPr>
          <w:ilvl w:val="0"/>
          <w:numId w:val="1002"/>
        </w:numPr>
        <w:pStyle w:val="Compact"/>
      </w:pPr>
      <w:r>
        <w:rPr>
          <w:bCs/>
          <w:b/>
        </w:rPr>
        <w:t xml:space="preserve">Transport Mode (regional):</w:t>
      </w:r>
      <w:r>
        <w:t xml:space="preserve"> </w:t>
      </w:r>
      <w:r>
        <w:t xml:space="preserve">Road Freight (Heavy Goods Vehicle)</w:t>
      </w:r>
    </w:p>
    <w:p>
      <w:pPr>
        <w:numPr>
          <w:ilvl w:val="0"/>
          <w:numId w:val="1002"/>
        </w:numPr>
        <w:pStyle w:val="Compact"/>
      </w:pPr>
      <w:r>
        <w:rPr>
          <w:bCs/>
          <w:b/>
        </w:rPr>
        <w:t xml:space="preserve">Transport Distance (regional):</w:t>
      </w:r>
      <w:r>
        <w:t xml:space="preserve"> </w:t>
      </w:r>
      <w:r>
        <w:t xml:space="preserve">500 km (Road Freight from port to distribution hub in Europe)</w:t>
      </w:r>
    </w:p>
    <w:p>
      <w:pPr>
        <w:numPr>
          <w:ilvl w:val="0"/>
          <w:numId w:val="1002"/>
        </w:numPr>
        <w:pStyle w:val="Compact"/>
      </w:pPr>
      <w:r>
        <w:rPr>
          <w:bCs/>
          <w:b/>
        </w:rPr>
        <w:t xml:space="preserve">Last-Mile Delivery Channel:</w:t>
      </w:r>
      <w:r>
        <w:t xml:space="preserve"> </w:t>
      </w:r>
      <w:r>
        <w:t xml:space="preserve">Road Freight (Light Commercial Vehicle)</w:t>
      </w:r>
    </w:p>
    <w:p>
      <w:pPr>
        <w:numPr>
          <w:ilvl w:val="0"/>
          <w:numId w:val="1002"/>
        </w:numPr>
        <w:pStyle w:val="Compact"/>
      </w:pPr>
      <w:r>
        <w:rPr>
          <w:bCs/>
          <w:b/>
        </w:rPr>
        <w:t xml:space="preserve">Last-Mile Delivery Distance:</w:t>
      </w:r>
      <w:r>
        <w:t xml:space="preserve"> </w:t>
      </w:r>
      <w:r>
        <w:t xml:space="preserve">50 km (assumed for typical last-mile delivery)</w:t>
      </w:r>
    </w:p>
    <w:p>
      <w:pPr>
        <w:numPr>
          <w:ilvl w:val="0"/>
          <w:numId w:val="1002"/>
        </w:numPr>
        <w:pStyle w:val="Compact"/>
      </w:pPr>
      <w:r>
        <w:rPr>
          <w:bCs/>
          <w:b/>
        </w:rPr>
        <w:t xml:space="preserve">Renewable Energy Usage (Production):</w:t>
      </w:r>
      <w:r>
        <w:t xml:space="preserve"> </w:t>
      </w:r>
      <w:r>
        <w:t xml:space="preserve">60%</w:t>
      </w:r>
    </w:p>
    <w:p>
      <w:pPr>
        <w:numPr>
          <w:ilvl w:val="0"/>
          <w:numId w:val="1002"/>
        </w:numPr>
        <w:pStyle w:val="Compact"/>
      </w:pPr>
      <w:r>
        <w:rPr>
          <w:bCs/>
          <w:b/>
        </w:rPr>
        <w:t xml:space="preserve">Energy Intensity (Production):</w:t>
      </w:r>
      <w:r>
        <w:t xml:space="preserve"> </w:t>
      </w:r>
      <w:r>
        <w:t xml:space="preserve">15 kWh/unit</w:t>
      </w:r>
    </w:p>
    <w:p>
      <w:pPr>
        <w:numPr>
          <w:ilvl w:val="0"/>
          <w:numId w:val="1002"/>
        </w:numPr>
        <w:pStyle w:val="Compact"/>
      </w:pPr>
      <w:r>
        <w:rPr>
          <w:bCs/>
          <w:b/>
        </w:rPr>
        <w:t xml:space="preserve">Product Lifespan:</w:t>
      </w:r>
      <w:r>
        <w:t xml:space="preserve"> </w:t>
      </w:r>
      <w:r>
        <w:t xml:space="preserve">7 years</w:t>
      </w:r>
    </w:p>
    <w:p>
      <w:pPr>
        <w:numPr>
          <w:ilvl w:val="0"/>
          <w:numId w:val="1002"/>
        </w:numPr>
        <w:pStyle w:val="Compact"/>
      </w:pPr>
      <w:r>
        <w:rPr>
          <w:bCs/>
          <w:b/>
        </w:rPr>
        <w:t xml:space="preserve">Energy Consumption in Use:</w:t>
      </w:r>
      <w:r>
        <w:t xml:space="preserve"> </w:t>
      </w:r>
      <w:r>
        <w:t xml:space="preserve">20 kWh/year</w:t>
      </w:r>
    </w:p>
    <w:p>
      <w:pPr>
        <w:numPr>
          <w:ilvl w:val="0"/>
          <w:numId w:val="1002"/>
        </w:numPr>
        <w:pStyle w:val="Compact"/>
      </w:pPr>
      <w:r>
        <w:rPr>
          <w:bCs/>
          <w:b/>
        </w:rPr>
        <w:t xml:space="preserve">Recyclability Percentage (Product):</w:t>
      </w:r>
      <w:r>
        <w:t xml:space="preserve"> </w:t>
      </w:r>
      <w:r>
        <w:t xml:space="preserve">75%</w:t>
      </w:r>
    </w:p>
    <w:p>
      <w:pPr>
        <w:numPr>
          <w:ilvl w:val="0"/>
          <w:numId w:val="1002"/>
        </w:numPr>
        <w:pStyle w:val="Compact"/>
      </w:pPr>
      <w:r>
        <w:rPr>
          <w:bCs/>
          <w:b/>
        </w:rPr>
        <w:t xml:space="preserve">Circular/Take-back Programs:</w:t>
      </w:r>
      <w:r>
        <w:t xml:space="preserve"> </w:t>
      </w:r>
      <w:r>
        <w:t xml:space="preserve">Yes, via certified recycling partners</w:t>
      </w:r>
    </w:p>
    <w:bookmarkEnd w:id="23"/>
    <w:bookmarkStart w:id="29" w:name="detailed-breakdown-of-inputs"/>
    <w:p>
      <w:pPr>
        <w:pStyle w:val="Heading3"/>
      </w:pPr>
      <w:r>
        <w:t xml:space="preserve">Detailed Breakdown of Inputs:</w:t>
      </w:r>
    </w:p>
    <w:bookmarkStart w:id="24" w:name="materials-upstream---scope-3-category-1"/>
    <w:p>
      <w:pPr>
        <w:pStyle w:val="Heading4"/>
      </w:pPr>
      <w:r>
        <w:t xml:space="preserve">Materials (Upstream - Scope 3, Category 1)</w:t>
      </w:r>
    </w:p>
    <w:p>
      <w:pPr>
        <w:pStyle w:val="FirstParagraph"/>
      </w:pPr>
      <w:r>
        <w:t xml:space="preserve">The following Bill of Materials (BOM) \'jmikpyst\' provides the foundation for material impact calculation. The \'Total Carbon\' values are used directly for their respective material emissions. These values inherently incorporate upstream extraction, processing, and primary manufacturing. Emission factors are representative of industry averages (e.g., from Ecoinvent/DEFRA type databases).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Metals</w:t>
            </w:r>
          </w:p>
        </w:tc>
        <w:tc>
          <w:tcPr/>
          <w:p>
            <w:pPr>
              <w:pStyle w:val="Compact"/>
              <w:jc w:val="left"/>
            </w:pPr>
            <w:r>
              <w:t xml:space="preserve">Forming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2.2</w:t>
            </w:r>
          </w:p>
        </w:tc>
        <w:tc>
          <w:tcPr/>
          <w:p>
            <w:pPr>
              <w:pStyle w:val="Compact"/>
              <w:jc w:val="left"/>
            </w:pPr>
            <w:r>
              <w:t xml:space="preserve">1.76</w:t>
            </w:r>
          </w:p>
        </w:tc>
      </w:tr>
      <w:tr>
        <w:tc>
          <w:tcPr/>
          <w:p>
            <w:pPr>
              <w:pStyle w:val="Compact"/>
              <w:jc w:val="left"/>
            </w:pPr>
            <w:r>
              <w:t xml:space="preserve">M002</w:t>
            </w:r>
          </w:p>
        </w:tc>
        <w:tc>
          <w:tcPr/>
          <w:p>
            <w:pPr>
              <w:pStyle w:val="Compact"/>
              <w:jc w:val="left"/>
            </w:pPr>
            <w:r>
              <w:t xml:space="preserve">Polymer Enclosure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3.5</w:t>
            </w:r>
          </w:p>
        </w:tc>
        <w:tc>
          <w:tcPr/>
          <w:p>
            <w:pPr>
              <w:pStyle w:val="Compact"/>
              <w:jc w:val="left"/>
            </w:pPr>
            <w:r>
              <w:t xml:space="preserve">1.40</w:t>
            </w:r>
          </w:p>
        </w:tc>
      </w:tr>
      <w:tr>
        <w:tc>
          <w:tcPr/>
          <w:p>
            <w:pPr>
              <w:pStyle w:val="Compact"/>
              <w:jc w:val="left"/>
            </w:pPr>
            <w:r>
              <w:t xml:space="preserve">M003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Packaging (Recycled Cardboard)</w:t>
            </w:r>
          </w:p>
        </w:tc>
        <w:tc>
          <w:tcPr/>
          <w:p>
            <w:pPr>
              <w:pStyle w:val="Compact"/>
              <w:jc w:val="left"/>
            </w:pPr>
            <w:r>
              <w:t xml:space="preserve">Paper &amp; Board</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right"/>
            </w:pPr>
            <w:r>
              <w:t xml:space="preserve">Total Material Emissions:</w:t>
            </w:r>
          </w:p>
        </w:tc>
        <w:tc>
          <w:tcPr/>
          <w:p>
            <w:pPr>
              <w:pStyle w:val="Compact"/>
              <w:jc w:val="left"/>
            </w:pPr>
            <w:r>
              <w:t xml:space="preserve">4.82 kg CO2e</w:t>
            </w:r>
          </w:p>
        </w:tc>
      </w:tr>
    </w:tbl>
    <w:bookmarkEnd w:id="24"/>
    <w:bookmarkStart w:id="25" w:name="production-phase-energy-scope-2"/>
    <w:p>
      <w:pPr>
        <w:pStyle w:val="Heading4"/>
      </w:pPr>
      <w:r>
        <w:t xml:space="preserve">Production Phase Energy (Scope 2)</w:t>
      </w:r>
    </w:p>
    <w:p>
      <w:pPr>
        <w:numPr>
          <w:ilvl w:val="0"/>
          <w:numId w:val="1003"/>
        </w:numPr>
        <w:pStyle w:val="Compact"/>
      </w:pPr>
      <w:r>
        <w:rPr>
          <w:bCs/>
          <w:b/>
        </w:rPr>
        <w:t xml:space="preserve">Energy Intensity:</w:t>
      </w:r>
      <w:r>
        <w:t xml:space="preserve"> </w:t>
      </w:r>
      <w:r>
        <w:t xml:space="preserve">15 kWh/unit (\'wsumodpmdu\')</w:t>
      </w:r>
    </w:p>
    <w:p>
      <w:pPr>
        <w:numPr>
          <w:ilvl w:val="0"/>
          <w:numId w:val="1003"/>
        </w:numPr>
        <w:pStyle w:val="Compact"/>
      </w:pPr>
      <w:r>
        <w:rPr>
          <w:bCs/>
          <w:b/>
        </w:rPr>
        <w:t xml:space="preserve">Renewable Energy Usage:</w:t>
      </w:r>
      <w:r>
        <w:t xml:space="preserve"> </w:t>
      </w:r>
      <w:r>
        <w:t xml:space="preserve">60% (\'hqxvpohilg\')</w:t>
      </w:r>
    </w:p>
    <w:p>
      <w:pPr>
        <w:numPr>
          <w:ilvl w:val="0"/>
          <w:numId w:val="1003"/>
        </w:numPr>
        <w:pStyle w:val="Compact"/>
      </w:pPr>
      <w:r>
        <w:rPr>
          <w:bCs/>
          <w:b/>
        </w:rPr>
        <w:t xml:space="preserve">Non-renewable Electricity Consumed:</w:t>
      </w:r>
      <w:r>
        <w:t xml:space="preserve"> </w:t>
      </w:r>
      <w:r>
        <w:t xml:space="preserve">15 kWh/unit * (1 - 0.60) = 6 kWh/unit</w:t>
      </w:r>
    </w:p>
    <w:p>
      <w:pPr>
        <w:numPr>
          <w:ilvl w:val="0"/>
          <w:numId w:val="1003"/>
        </w:numPr>
        <w:pStyle w:val="Compact"/>
      </w:pPr>
      <w:r>
        <w:rPr>
          <w:bCs/>
          <w:b/>
        </w:rPr>
        <w:t xml:space="preserve">Electricity Grid Emission Factor (China):</w:t>
      </w:r>
      <w:r>
        <w:t xml:space="preserve"> </w:t>
      </w:r>
      <w:r>
        <w:t xml:space="preserve">0.6205 kgCO2e/kWh (2023 National Average). This factor is based on emissions associated with electricity generation in China.</w:t>
      </w:r>
    </w:p>
    <w:bookmarkEnd w:id="25"/>
    <w:bookmarkStart w:id="26" w:name="X520ba4742699b74544d526e8fce48b1cc528d31"/>
    <w:p>
      <w:pPr>
        <w:pStyle w:val="Heading4"/>
      </w:pPr>
      <w:r>
        <w:t xml:space="preserve">Transport (Upstream &amp; Downstream - Scope 3, Categories 4 &amp; 9)</w:t>
      </w:r>
    </w:p>
    <w:p>
      <w:pPr>
        <w:pStyle w:val="FirstParagraph"/>
      </w:pPr>
      <w:r>
        <w:t xml:space="preserve">The total transport chain from production in China to final delivery in Europe is considered.</w:t>
      </w:r>
    </w:p>
    <w:p>
      <w:pPr>
        <w:numPr>
          <w:ilvl w:val="0"/>
          <w:numId w:val="1004"/>
        </w:numPr>
        <w:pStyle w:val="Compact"/>
      </w:pPr>
      <w:r>
        <w:rPr>
          <w:bCs/>
          <w:b/>
        </w:rPr>
        <w:t xml:space="preserve">Product Weight for Transport:</w:t>
      </w:r>
      <w:r>
        <w:t xml:space="preserve"> </w:t>
      </w:r>
      <w:r>
        <w:t xml:space="preserve">1.5 kg (0.0015 tonnes) - includes packaging for a more holistic transport impact.</w:t>
      </w:r>
    </w:p>
    <w:p>
      <w:pPr>
        <w:numPr>
          <w:ilvl w:val="0"/>
          <w:numId w:val="1004"/>
        </w:numPr>
        <w:pStyle w:val="Compact"/>
      </w:pPr>
      <w:r>
        <w:rPr>
          <w:bCs/>
          <w:b/>
        </w:rPr>
        <w:t xml:space="preserve">Main Transport Leg (China to Europe):</w:t>
      </w:r>
    </w:p>
    <w:p>
      <w:pPr>
        <w:numPr>
          <w:ilvl w:val="1"/>
          <w:numId w:val="1005"/>
        </w:numPr>
        <w:pStyle w:val="Compact"/>
      </w:pPr>
      <w:r>
        <w:t xml:space="preserve">Mode: Ocean Freight (Container Ship)</w:t>
      </w:r>
    </w:p>
    <w:p>
      <w:pPr>
        <w:numPr>
          <w:ilvl w:val="1"/>
          <w:numId w:val="1005"/>
        </w:numPr>
        <w:pStyle w:val="Compact"/>
      </w:pPr>
      <w:r>
        <w:t xml:space="preserve">Distance: 12,000 km (\'mwqrxjidiw\')</w:t>
      </w:r>
    </w:p>
    <w:p>
      <w:pPr>
        <w:numPr>
          <w:ilvl w:val="1"/>
          <w:numId w:val="1005"/>
        </w:numPr>
        <w:pStyle w:val="Compact"/>
      </w:pPr>
      <w:r>
        <w:t xml:space="preserve">Emission Factor: 0.016 kgCO2e/tonne-km (DEFRA/DESNZ 2025 average for container ships)</w:t>
      </w:r>
    </w:p>
    <w:p>
      <w:pPr>
        <w:numPr>
          <w:ilvl w:val="0"/>
          <w:numId w:val="1004"/>
        </w:numPr>
        <w:pStyle w:val="Compact"/>
      </w:pPr>
      <w:r>
        <w:rPr>
          <w:bCs/>
          <w:b/>
        </w:rPr>
        <w:t xml:space="preserve">Regional Transport Leg (Within Europe):</w:t>
      </w:r>
    </w:p>
    <w:p>
      <w:pPr>
        <w:numPr>
          <w:ilvl w:val="1"/>
          <w:numId w:val="1006"/>
        </w:numPr>
        <w:pStyle w:val="Compact"/>
      </w:pPr>
      <w:r>
        <w:t xml:space="preserve">Mode: Road Freight (Heavy Goods Vehicle - HGV)</w:t>
      </w:r>
    </w:p>
    <w:p>
      <w:pPr>
        <w:numPr>
          <w:ilvl w:val="1"/>
          <w:numId w:val="1006"/>
        </w:numPr>
        <w:pStyle w:val="Compact"/>
      </w:pPr>
      <w:r>
        <w:t xml:space="preserve">Distance: 500 km (part of \'mwqrxjidiw\')</w:t>
      </w:r>
    </w:p>
    <w:p>
      <w:pPr>
        <w:numPr>
          <w:ilvl w:val="1"/>
          <w:numId w:val="1006"/>
        </w:numPr>
        <w:pStyle w:val="Compact"/>
      </w:pPr>
      <w:r>
        <w:t xml:space="preserve">Emission Factor: 0.1 kgCO2e/tonne-km (Approximation for HGV, based on general freight factors)</w:t>
      </w:r>
    </w:p>
    <w:p>
      <w:pPr>
        <w:numPr>
          <w:ilvl w:val="0"/>
          <w:numId w:val="1004"/>
        </w:numPr>
        <w:pStyle w:val="Compact"/>
      </w:pPr>
      <w:r>
        <w:rPr>
          <w:bCs/>
          <w:b/>
        </w:rPr>
        <w:t xml:space="preserve">Last-Mile Delivery (To Customer):</w:t>
      </w:r>
    </w:p>
    <w:p>
      <w:pPr>
        <w:numPr>
          <w:ilvl w:val="1"/>
          <w:numId w:val="1007"/>
        </w:numPr>
        <w:pStyle w:val="Compact"/>
      </w:pPr>
      <w:r>
        <w:t xml:space="preserve">Mode: Road Freight (Light Commercial Vehicle - LCV) (\'Delivery Type\')</w:t>
      </w:r>
    </w:p>
    <w:p>
      <w:pPr>
        <w:numPr>
          <w:ilvl w:val="1"/>
          <w:numId w:val="1007"/>
        </w:numPr>
        <w:pStyle w:val="Compact"/>
      </w:pPr>
      <w:r>
        <w:t xml:space="preserve">Distance: 50 km (assumed typical last-mile)</w:t>
      </w:r>
    </w:p>
    <w:p>
      <w:pPr>
        <w:numPr>
          <w:ilvl w:val="1"/>
          <w:numId w:val="1007"/>
        </w:numPr>
        <w:pStyle w:val="Compact"/>
      </w:pPr>
      <w:r>
        <w:t xml:space="preserve">Emission Factor: 0.2 kgCO2e/tonne-km (Approximation for LCV)</w:t>
      </w:r>
    </w:p>
    <w:bookmarkEnd w:id="26"/>
    <w:bookmarkStart w:id="27" w:name="use-phase-scope-3-category-11"/>
    <w:p>
      <w:pPr>
        <w:pStyle w:val="Heading4"/>
      </w:pPr>
      <w:r>
        <w:t xml:space="preserve">Use Phase (Scope 3, Category 11)</w:t>
      </w:r>
    </w:p>
    <w:p>
      <w:pPr>
        <w:pStyle w:val="FirstParagraph"/>
      </w:pPr>
      <w:r>
        <w:t xml:space="preserve">Emissions from the product\'s energy consumption during its active use are calculated for its estimated lifespan.</w:t>
      </w:r>
    </w:p>
    <w:p>
      <w:pPr>
        <w:numPr>
          <w:ilvl w:val="0"/>
          <w:numId w:val="1008"/>
        </w:numPr>
        <w:pStyle w:val="Compact"/>
      </w:pPr>
      <w:r>
        <w:rPr>
          <w:bCs/>
          <w:b/>
        </w:rPr>
        <w:t xml:space="preserve">Product Lifespan:</w:t>
      </w:r>
      <w:r>
        <w:t xml:space="preserve"> </w:t>
      </w:r>
      <w:r>
        <w:t xml:space="preserve">7 years (\'ppjwlsqzew\')</w:t>
      </w:r>
    </w:p>
    <w:p>
      <w:pPr>
        <w:numPr>
          <w:ilvl w:val="0"/>
          <w:numId w:val="1008"/>
        </w:numPr>
        <w:pStyle w:val="Compact"/>
      </w:pPr>
      <w:r>
        <w:rPr>
          <w:bCs/>
          <w:b/>
        </w:rPr>
        <w:t xml:space="preserve">Energy Consumption in Use:</w:t>
      </w:r>
      <w:r>
        <w:t xml:space="preserve"> </w:t>
      </w:r>
      <w:r>
        <w:t xml:space="preserve">20 kWh/year (\'zutrwmtpsw\')</w:t>
      </w:r>
    </w:p>
    <w:p>
      <w:pPr>
        <w:numPr>
          <w:ilvl w:val="0"/>
          <w:numId w:val="1008"/>
        </w:numPr>
        <w:pStyle w:val="Compact"/>
      </w:pPr>
      <w:r>
        <w:rPr>
          <w:bCs/>
          <w:b/>
        </w:rPr>
        <w:t xml:space="preserve">Electricity Grid Emission Factor (Europe):</w:t>
      </w:r>
      <w:r>
        <w:t xml:space="preserve"> </w:t>
      </w:r>
      <w:r>
        <w:t xml:space="preserve">0.255 kgCO2e/kWh (Average for EU-27 grid mix, based on 2022 data)</w:t>
      </w:r>
    </w:p>
    <w:bookmarkEnd w:id="27"/>
    <w:bookmarkStart w:id="28" w:name="X210143e50433bf4e7687bdfefe45c681f300a44"/>
    <w:p>
      <w:pPr>
        <w:pStyle w:val="Heading4"/>
      </w:pPr>
      <w:r>
        <w:t xml:space="preserve">End-of-Life (EoL) Phase (Scope 3, Category 12)</w:t>
      </w:r>
    </w:p>
    <w:p>
      <w:pPr>
        <w:pStyle w:val="FirstParagraph"/>
      </w:pPr>
      <w:r>
        <w:t xml:space="preserve">The EoL scenario accounts for recyclability and disposal of the product.</w:t>
      </w:r>
    </w:p>
    <w:p>
      <w:pPr>
        <w:numPr>
          <w:ilvl w:val="0"/>
          <w:numId w:val="1009"/>
        </w:numPr>
        <w:pStyle w:val="Compact"/>
      </w:pPr>
      <w:r>
        <w:rPr>
          <w:bCs/>
          <w:b/>
        </w:rPr>
        <w:t xml:space="preserve">Recyclability Percentage:</w:t>
      </w:r>
      <w:r>
        <w:t xml:space="preserve"> </w:t>
      </w:r>
      <w:r>
        <w:t xml:space="preserve">75% (\'tqnltyeeql\')</w:t>
      </w:r>
    </w:p>
    <w:p>
      <w:pPr>
        <w:numPr>
          <w:ilvl w:val="0"/>
          <w:numId w:val="1009"/>
        </w:numPr>
        <w:pStyle w:val="Compact"/>
      </w:pPr>
      <w:r>
        <w:rPr>
          <w:bCs/>
          <w:b/>
        </w:rPr>
        <w:t xml:space="preserve">Non-recycled Portion:</w:t>
      </w:r>
      <w:r>
        <w:t xml:space="preserve"> </w:t>
      </w:r>
      <w:r>
        <w:t xml:space="preserve">25% of the product mass (1.3 kg * 0.25 = 0.325 kg)</w:t>
      </w:r>
    </w:p>
    <w:p>
      <w:pPr>
        <w:numPr>
          <w:ilvl w:val="0"/>
          <w:numId w:val="1009"/>
        </w:numPr>
        <w:pStyle w:val="Compact"/>
      </w:pPr>
      <w:r>
        <w:rPr>
          <w:bCs/>
          <w:b/>
        </w:rPr>
        <w:t xml:space="preserve">Disposal Method for Non-recycled:</w:t>
      </w:r>
      <w:r>
        <w:t xml:space="preserve"> </w:t>
      </w:r>
      <w:r>
        <w:t xml:space="preserve">Landfill (assuming mixed waste)</w:t>
      </w:r>
    </w:p>
    <w:p>
      <w:pPr>
        <w:numPr>
          <w:ilvl w:val="0"/>
          <w:numId w:val="1009"/>
        </w:numPr>
        <w:pStyle w:val="Compact"/>
      </w:pPr>
      <w:r>
        <w:rPr>
          <w:bCs/>
          <w:b/>
        </w:rPr>
        <w:t xml:space="preserve">Landfill Emission Factor:</w:t>
      </w:r>
      <w:r>
        <w:t xml:space="preserve"> </w:t>
      </w:r>
      <w:r>
        <w:t xml:space="preserve">0.1 kgCO2e/kg (Approximation for mixed waste to landfill)</w:t>
      </w:r>
    </w:p>
    <w:p>
      <w:pPr>
        <w:numPr>
          <w:ilvl w:val="0"/>
          <w:numId w:val="1009"/>
        </w:numPr>
        <w:pStyle w:val="Compact"/>
      </w:pPr>
      <w:r>
        <w:rPr>
          <w:bCs/>
          <w:b/>
        </w:rPr>
        <w:t xml:space="preserve">Circular/Take-back Programs:</w:t>
      </w:r>
      <w:r>
        <w:t xml:space="preserve"> </w:t>
      </w:r>
      <w:r>
        <w:t xml:space="preserve">\'uevfsxqowd\' indicates "Yes, via certified recycling partners". This reduces the burden on virgin material production and contributes to a circular economy, though specific avoided emissions are not quantified here but are acknowledged as a benefit.</w:t>
      </w:r>
    </w:p>
    <w:p>
      <w:r>
        <w:pict>
          <v:rect style="width:0;height:1.5pt" o:hralign="center" o:hrstd="t" o:hr="t"/>
        </w:pict>
      </w:r>
    </w:p>
    <w:bookmarkEnd w:id="28"/>
    <w:bookmarkEnd w:id="29"/>
    <w:bookmarkEnd w:id="30"/>
    <w:bookmarkStart w:id="40" w:name="calculate-emissions"/>
    <w:p>
      <w:pPr>
        <w:pStyle w:val="Heading2"/>
      </w:pPr>
      <w:r>
        <w:t xml:space="preserve">4. Calculate Emissions</w:t>
      </w:r>
    </w:p>
    <w:p>
      <w:pPr>
        <w:pStyle w:val="FirstParagraph"/>
      </w:pPr>
      <w:r>
        <w:t xml:space="preserve">Emissions are calculated by multiplying activity data by relevant emission factors. They are categorized according to the GHG Protocol Scopes.</w:t>
      </w:r>
    </w:p>
    <w:bookmarkStart w:id="31" w:name="ghg-protocol-scopes-explained"/>
    <w:p>
      <w:pPr>
        <w:pStyle w:val="Heading3"/>
      </w:pPr>
      <w:r>
        <w:t xml:space="preserve">GHG Protocol Scopes Explained:</w:t>
      </w:r>
    </w:p>
    <w:p>
      <w:pPr>
        <w:numPr>
          <w:ilvl w:val="0"/>
          <w:numId w:val="1010"/>
        </w:numPr>
        <w:pStyle w:val="Compact"/>
      </w:pPr>
      <w:r>
        <w:rPr>
          <w:bCs/>
          <w:b/>
        </w:rPr>
        <w:t xml:space="preserve">Scope 1 (Direct Emissions):</w:t>
      </w:r>
      <w:r>
        <w:t xml:space="preserve"> </w:t>
      </w:r>
      <w:r>
        <w:t xml:space="preserve">Emissions from sources owned or controlled by wmnkgxghox (e.g., direct fuel combustion in owned vehicles or facilities). For this PCF, direct Scope 1 emissions from production are assumed to be negligible compared to indirect sources, as energy intensity is focused on purchased electricity.</w:t>
      </w:r>
    </w:p>
    <w:p>
      <w:pPr>
        <w:numPr>
          <w:ilvl w:val="0"/>
          <w:numId w:val="1010"/>
        </w:numPr>
        <w:pStyle w:val="Compact"/>
      </w:pPr>
      <w:r>
        <w:rPr>
          <w:bCs/>
          <w:b/>
        </w:rPr>
        <w:t xml:space="preserve">Scope 2 (Energy Indirect Emissions):</w:t>
      </w:r>
      <w:r>
        <w:t xml:space="preserve"> </w:t>
      </w:r>
      <w:r>
        <w:t xml:space="preserve">Emissions from the generation of purchased electricity, heat, or steam consumed by wmnkgxghox. This primarily covers the electricity used in the production phase.</w:t>
      </w:r>
    </w:p>
    <w:p>
      <w:pPr>
        <w:numPr>
          <w:ilvl w:val="0"/>
          <w:numId w:val="1010"/>
        </w:numPr>
        <w:pStyle w:val="Compact"/>
      </w:pPr>
      <w:r>
        <w:rPr>
          <w:bCs/>
          <w:b/>
        </w:rPr>
        <w:t xml:space="preserve">Scope 3 (Other Indirect Emissions - Value Chain):</w:t>
      </w:r>
      <w:r>
        <w:t xml:space="preserve"> </w:t>
      </w:r>
      <w:r>
        <w:t xml:space="preserve">All other indirect emissions that occur in the value chain of wmnkgxghox, both upstream and downstream. This includes emissions from purchased goods and services (materials), transportation, use of sold products, and end-of-life treatment.</w:t>
      </w:r>
    </w:p>
    <w:bookmarkEnd w:id="31"/>
    <w:bookmarkStart w:id="32" w:name="lsr-update-scope-3-compliance"/>
    <w:p>
      <w:pPr>
        <w:pStyle w:val="Heading3"/>
      </w:pPr>
      <w:r>
        <w:t xml:space="preserve">2026 LSR Update &amp; Scope 3 Compliance:</w:t>
      </w:r>
    </w:p>
    <w:p>
      <w:pPr>
        <w:pStyle w:val="FirstParagraph"/>
      </w:pPr>
      <w:r>
        <w:t xml:space="preserve">The GHG Protocol\'s Land Sector and Removals (LSR) Standard, released on January 30, 2026, provides requirements for accounting and reporting land-related emissions and carbon removals. It officially takes effect on January 1, 2027. While specific land-use change data for individual product components is not provided within the parameters for this PCF, wmnkgxghox acknowledges the importance of the LSR Standard for its broader corporate inventory, especially if its supply chain includes agricultural or forestry products, or involves land-based carbon removal initiatives. The accompanying LSR Guidance, expected in Q2 2026, will offer further implementation support.</w:t>
      </w:r>
    </w:p>
    <w:p>
      <w:pPr>
        <w:pStyle w:val="BodyText"/>
      </w:pPr>
      <w:r>
        <w:t xml:space="preserve">The 2026 GHG Protocol Scope 3 revisions emphasize a</w:t>
      </w:r>
      <w:r>
        <w:t xml:space="preserve"> </w:t>
      </w:r>
      <w:r>
        <w:rPr>
          <w:bCs/>
          <w:b/>
        </w:rPr>
        <w:t xml:space="preserve">95% completeness rule</w:t>
      </w:r>
      <w:r>
        <w:t xml:space="preserve"> </w:t>
      </w:r>
      <w:r>
        <w:t xml:space="preserve">for reporting relevant Scope 3 emissions. This analysis includes all major identified Scope 3 categories: purchased goods and services (materials), upstream transportation and distribution, downstream transportation and distribution, use of sold products, and end-of-life treatment of sold products, thus ensuring high coverage consistent with these evolving requirements.</w:t>
      </w:r>
    </w:p>
    <w:bookmarkEnd w:id="32"/>
    <w:bookmarkStart w:id="38" w:name="calculated-emissions-by-lifecycle-stage"/>
    <w:p>
      <w:pPr>
        <w:pStyle w:val="Heading3"/>
      </w:pPr>
      <w:r>
        <w:t xml:space="preserve">Calculated Emissions by Lifecycle Stage:</w:t>
      </w:r>
    </w:p>
    <w:bookmarkStart w:id="33" w:name="materials-scope-3-category-1"/>
    <w:p>
      <w:pPr>
        <w:pStyle w:val="Heading4"/>
      </w:pPr>
      <w:r>
        <w:t xml:space="preserve">1. Materials (Scope 3, Category 1)</w:t>
      </w:r>
    </w:p>
    <w:p>
      <w:pPr>
        <w:pStyle w:val="FirstParagraph"/>
      </w:pPr>
      <w:r>
        <w:t xml:space="preserve">Total emissions from the production of all raw materials and packaging, as provided by the BOM.</w:t>
      </w:r>
    </w:p>
    <w:p>
      <w:pPr>
        <w:pStyle w:val="BodyText"/>
      </w:pPr>
      <w:r>
        <w:rPr>
          <w:bCs/>
          <w:b/>
        </w:rPr>
        <w:t xml:space="preserve">Emissions: 4.82 kg CO2e</w:t>
      </w:r>
    </w:p>
    <w:bookmarkEnd w:id="33"/>
    <w:bookmarkStart w:id="34" w:name="production-phase-scope-2"/>
    <w:p>
      <w:pPr>
        <w:pStyle w:val="Heading4"/>
      </w:pPr>
      <w:r>
        <w:t xml:space="preserve">2. Production Phase (Scope 2)</w:t>
      </w:r>
    </w:p>
    <w:p>
      <w:pPr>
        <w:pStyle w:val="FirstParagraph"/>
      </w:pPr>
      <w:r>
        <w:t xml:space="preserve">Emissions from the non-renewable portion of electricity consumed during manufacturing.</w:t>
      </w:r>
    </w:p>
    <w:p>
      <w:pPr>
        <w:numPr>
          <w:ilvl w:val="0"/>
          <w:numId w:val="1011"/>
        </w:numPr>
        <w:pStyle w:val="Compact"/>
      </w:pPr>
      <w:r>
        <w:t xml:space="preserve">Non-renewable Electricity: 6 kWh/unit</w:t>
      </w:r>
    </w:p>
    <w:p>
      <w:pPr>
        <w:numPr>
          <w:ilvl w:val="0"/>
          <w:numId w:val="1011"/>
        </w:numPr>
        <w:pStyle w:val="Compact"/>
      </w:pPr>
      <w:r>
        <w:t xml:space="preserve">China Grid Emission Factor: 0.6205 kgCO2e/kWh</w:t>
      </w:r>
    </w:p>
    <w:p>
      <w:pPr>
        <w:pStyle w:val="FirstParagraph"/>
      </w:pPr>
      <w:r>
        <w:rPr>
          <w:bCs/>
          <w:b/>
        </w:rPr>
        <w:t xml:space="preserve">Emissions:</w:t>
      </w:r>
      <w:r>
        <w:t xml:space="preserve"> </w:t>
      </w:r>
      <w:r>
        <w:t xml:space="preserve">6 kWh * 0.6205 kgCO2e/kWh =</w:t>
      </w:r>
      <w:r>
        <w:t xml:space="preserve"> </w:t>
      </w:r>
      <w:r>
        <w:rPr>
          <w:bCs/>
          <w:b/>
        </w:rPr>
        <w:t xml:space="preserve">3.723 kg CO2e</w:t>
      </w:r>
    </w:p>
    <w:bookmarkEnd w:id="34"/>
    <w:bookmarkStart w:id="35" w:name="transport-scope-3-categories-4-9"/>
    <w:p>
      <w:pPr>
        <w:pStyle w:val="Heading4"/>
      </w:pPr>
      <w:r>
        <w:t xml:space="preserve">3. Transport (Scope 3, Categories 4 &amp; 9)</w:t>
      </w:r>
    </w:p>
    <w:p>
      <w:pPr>
        <w:pStyle w:val="FirstParagraph"/>
      </w:pPr>
      <w:r>
        <w:t xml:space="preserve">Emissions from all legs of transportation for the product.</w:t>
      </w:r>
    </w:p>
    <w:p>
      <w:pPr>
        <w:numPr>
          <w:ilvl w:val="0"/>
          <w:numId w:val="1012"/>
        </w:numPr>
        <w:pStyle w:val="Compact"/>
      </w:pPr>
      <w:r>
        <w:t xml:space="preserve">Ocean Freight: 0.0015 tonnes * 12,000 km * 0.016 kgCO2e/tonne-km = 0.288 kg CO2e</w:t>
      </w:r>
    </w:p>
    <w:p>
      <w:pPr>
        <w:numPr>
          <w:ilvl w:val="0"/>
          <w:numId w:val="1012"/>
        </w:numPr>
        <w:pStyle w:val="Compact"/>
      </w:pPr>
      <w:r>
        <w:t xml:space="preserve">Road Freight (HGV): 0.0015 tonnes * 500 km * 0.1 kgCO2e/tonne-km = 0.075 kg CO2e</w:t>
      </w:r>
    </w:p>
    <w:p>
      <w:pPr>
        <w:numPr>
          <w:ilvl w:val="0"/>
          <w:numId w:val="1012"/>
        </w:numPr>
        <w:pStyle w:val="Compact"/>
      </w:pPr>
      <w:r>
        <w:t xml:space="preserve">Last-Mile Delivery (LCV): 0.0015 tonnes * 50 km * 0.2 kgCO2e/tonne-km = 0.015 kg CO2e</w:t>
      </w:r>
    </w:p>
    <w:p>
      <w:pPr>
        <w:pStyle w:val="FirstParagraph"/>
      </w:pPr>
      <w:r>
        <w:rPr>
          <w:bCs/>
          <w:b/>
        </w:rPr>
        <w:t xml:space="preserve">Total Transport Emissions: 0.378 kg CO2e</w:t>
      </w:r>
    </w:p>
    <w:bookmarkEnd w:id="35"/>
    <w:bookmarkStart w:id="36" w:name="use-phase-scope-3-category-11-1"/>
    <w:p>
      <w:pPr>
        <w:pStyle w:val="Heading4"/>
      </w:pPr>
      <w:r>
        <w:t xml:space="preserve">4. Use Phase (Scope 3, Category 11)</w:t>
      </w:r>
    </w:p>
    <w:p>
      <w:pPr>
        <w:pStyle w:val="FirstParagraph"/>
      </w:pPr>
      <w:r>
        <w:t xml:space="preserve">Emissions from the energy consumed by the product over its entire lifespan.</w:t>
      </w:r>
    </w:p>
    <w:p>
      <w:pPr>
        <w:numPr>
          <w:ilvl w:val="0"/>
          <w:numId w:val="1013"/>
        </w:numPr>
        <w:pStyle w:val="Compact"/>
      </w:pPr>
      <w:r>
        <w:t xml:space="preserve">Product Lifespan: 7 years</w:t>
      </w:r>
    </w:p>
    <w:p>
      <w:pPr>
        <w:numPr>
          <w:ilvl w:val="0"/>
          <w:numId w:val="1013"/>
        </w:numPr>
        <w:pStyle w:val="Compact"/>
      </w:pPr>
      <w:r>
        <w:t xml:space="preserve">Annual Energy Consumption: 20 kWh/year</w:t>
      </w:r>
    </w:p>
    <w:p>
      <w:pPr>
        <w:numPr>
          <w:ilvl w:val="0"/>
          <w:numId w:val="1013"/>
        </w:numPr>
        <w:pStyle w:val="Compact"/>
      </w:pPr>
      <w:r>
        <w:t xml:space="preserve">Europe Grid Emission Factor: 0.255 kgCO2e/kWh</w:t>
      </w:r>
    </w:p>
    <w:p>
      <w:pPr>
        <w:pStyle w:val="FirstParagraph"/>
      </w:pPr>
      <w:r>
        <w:rPr>
          <w:bCs/>
          <w:b/>
        </w:rPr>
        <w:t xml:space="preserve">Emissions:</w:t>
      </w:r>
      <w:r>
        <w:t xml:space="preserve"> </w:t>
      </w:r>
      <w:r>
        <w:t xml:space="preserve">7 years * 20 kWh/year * 0.255 kgCO2e/kWh =</w:t>
      </w:r>
      <w:r>
        <w:t xml:space="preserve"> </w:t>
      </w:r>
      <w:r>
        <w:rPr>
          <w:bCs/>
          <w:b/>
        </w:rPr>
        <w:t xml:space="preserve">35.7 kg CO2e</w:t>
      </w:r>
    </w:p>
    <w:bookmarkEnd w:id="36"/>
    <w:bookmarkStart w:id="37" w:name="Xf8e19df6a15d3d9a7fd3699229f2853bcc27d91"/>
    <w:p>
      <w:pPr>
        <w:pStyle w:val="Heading4"/>
      </w:pPr>
      <w:r>
        <w:t xml:space="preserve">5. End-of-Life (EoL) Phase (Scope 3, Category 12)</w:t>
      </w:r>
    </w:p>
    <w:p>
      <w:pPr>
        <w:pStyle w:val="FirstParagraph"/>
      </w:pPr>
      <w:r>
        <w:t xml:space="preserve">Emissions from the disposal of the non-recycled portion of the product at its end of life.</w:t>
      </w:r>
    </w:p>
    <w:p>
      <w:pPr>
        <w:numPr>
          <w:ilvl w:val="0"/>
          <w:numId w:val="1014"/>
        </w:numPr>
        <w:pStyle w:val="Compact"/>
      </w:pPr>
      <w:r>
        <w:t xml:space="preserve">Non-recycled Mass: 0.325 kg</w:t>
      </w:r>
    </w:p>
    <w:p>
      <w:pPr>
        <w:numPr>
          <w:ilvl w:val="0"/>
          <w:numId w:val="1014"/>
        </w:numPr>
        <w:pStyle w:val="Compact"/>
      </w:pPr>
      <w:r>
        <w:t xml:space="preserve">Landfill Emission Factor: 0.1 kgCO2e/kg</w:t>
      </w:r>
    </w:p>
    <w:p>
      <w:pPr>
        <w:pStyle w:val="FirstParagraph"/>
      </w:pPr>
      <w:r>
        <w:rPr>
          <w:bCs/>
          <w:b/>
        </w:rPr>
        <w:t xml:space="preserve">Emissions:</w:t>
      </w:r>
      <w:r>
        <w:t xml:space="preserve"> </w:t>
      </w:r>
      <w:r>
        <w:t xml:space="preserve">0.325 kg * 0.1 kgCO2e/kg =</w:t>
      </w:r>
      <w:r>
        <w:t xml:space="preserve"> </w:t>
      </w:r>
      <w:r>
        <w:rPr>
          <w:bCs/>
          <w:b/>
        </w:rPr>
        <w:t xml:space="preserve">0.0325 kg CO2e</w:t>
      </w:r>
    </w:p>
    <w:bookmarkEnd w:id="37"/>
    <w:bookmarkEnd w:id="38"/>
    <w:bookmarkStart w:id="39" w:name="Xdbef0337fca2af60aef2f84ddacf2dad35e9184"/>
    <w:p>
      <w:pPr>
        <w:pStyle w:val="Heading3"/>
      </w:pPr>
      <w:r>
        <w:t xml:space="preserve">Summary of Product Carbon Footprint (PCF) for pujqxrdlqi</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Materials (Purchased Goods &amp; Services)</w:t>
            </w:r>
          </w:p>
        </w:tc>
        <w:tc>
          <w:tcPr/>
          <w:p>
            <w:pPr>
              <w:pStyle w:val="Compact"/>
              <w:jc w:val="left"/>
            </w:pPr>
            <w:r>
              <w:t xml:space="preserve">Scope 3, Category 1</w:t>
            </w:r>
          </w:p>
        </w:tc>
        <w:tc>
          <w:tcPr/>
          <w:p>
            <w:pPr>
              <w:pStyle w:val="Compact"/>
              <w:jc w:val="left"/>
            </w:pPr>
            <w:r>
              <w:t xml:space="preserve">4.820</w:t>
            </w:r>
          </w:p>
        </w:tc>
        <w:tc>
          <w:tcPr/>
          <w:p>
            <w:pPr>
              <w:pStyle w:val="Compact"/>
              <w:jc w:val="left"/>
            </w:pPr>
            <w:r>
              <w:t xml:space="preserve">10.79%</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3.723</w:t>
            </w:r>
          </w:p>
        </w:tc>
        <w:tc>
          <w:tcPr/>
          <w:p>
            <w:pPr>
              <w:pStyle w:val="Compact"/>
              <w:jc w:val="left"/>
            </w:pPr>
            <w:r>
              <w:t xml:space="preserve">8.34%</w:t>
            </w:r>
          </w:p>
        </w:tc>
      </w:tr>
      <w:tr>
        <w:tc>
          <w:tcPr/>
          <w:p>
            <w:pPr>
              <w:pStyle w:val="Compact"/>
              <w:jc w:val="left"/>
            </w:pPr>
            <w:r>
              <w:t xml:space="preserve">Transport (Upstream &amp; Downstream)</w:t>
            </w:r>
          </w:p>
        </w:tc>
        <w:tc>
          <w:tcPr/>
          <w:p>
            <w:pPr>
              <w:pStyle w:val="Compact"/>
              <w:jc w:val="left"/>
            </w:pPr>
            <w:r>
              <w:t xml:space="preserve">Scope 3, Categories 4 &amp; 9</w:t>
            </w:r>
          </w:p>
        </w:tc>
        <w:tc>
          <w:tcPr/>
          <w:p>
            <w:pPr>
              <w:pStyle w:val="Compact"/>
              <w:jc w:val="left"/>
            </w:pPr>
            <w:r>
              <w:t xml:space="preserve">0.378</w:t>
            </w:r>
          </w:p>
        </w:tc>
        <w:tc>
          <w:tcPr/>
          <w:p>
            <w:pPr>
              <w:pStyle w:val="Compact"/>
              <w:jc w:val="left"/>
            </w:pPr>
            <w:r>
              <w:t xml:space="preserve">0.85%</w:t>
            </w:r>
          </w:p>
        </w:tc>
      </w:tr>
      <w:tr>
        <w:tc>
          <w:tcPr/>
          <w:p>
            <w:pPr>
              <w:pStyle w:val="Compact"/>
              <w:jc w:val="left"/>
            </w:pPr>
            <w:r>
              <w:t xml:space="preserve">Use Phase (Use of Sold Products)</w:t>
            </w:r>
          </w:p>
        </w:tc>
        <w:tc>
          <w:tcPr/>
          <w:p>
            <w:pPr>
              <w:pStyle w:val="Compact"/>
              <w:jc w:val="left"/>
            </w:pPr>
            <w:r>
              <w:t xml:space="preserve">Scope 3, Category 11</w:t>
            </w:r>
          </w:p>
        </w:tc>
        <w:tc>
          <w:tcPr/>
          <w:p>
            <w:pPr>
              <w:pStyle w:val="Compact"/>
              <w:jc w:val="left"/>
            </w:pPr>
            <w:r>
              <w:t xml:space="preserve">35.700</w:t>
            </w:r>
          </w:p>
        </w:tc>
        <w:tc>
          <w:tcPr/>
          <w:p>
            <w:pPr>
              <w:pStyle w:val="Compact"/>
              <w:jc w:val="left"/>
            </w:pPr>
            <w:r>
              <w:t xml:space="preserve">79.95%</w:t>
            </w:r>
          </w:p>
        </w:tc>
      </w:tr>
      <w:tr>
        <w:tc>
          <w:tcPr/>
          <w:p>
            <w:pPr>
              <w:pStyle w:val="Compact"/>
              <w:jc w:val="left"/>
            </w:pPr>
            <w:r>
              <w:t xml:space="preserve">End-of-Life (EoL Treatment of Sold Products)</w:t>
            </w:r>
          </w:p>
        </w:tc>
        <w:tc>
          <w:tcPr/>
          <w:p>
            <w:pPr>
              <w:pStyle w:val="Compact"/>
              <w:jc w:val="left"/>
            </w:pPr>
            <w:r>
              <w:t xml:space="preserve">Scope 3, Category 12</w:t>
            </w:r>
          </w:p>
        </w:tc>
        <w:tc>
          <w:tcPr/>
          <w:p>
            <w:pPr>
              <w:pStyle w:val="Compact"/>
              <w:jc w:val="left"/>
            </w:pPr>
            <w:r>
              <w:t xml:space="preserve">0.0325</w:t>
            </w:r>
          </w:p>
        </w:tc>
        <w:tc>
          <w:tcPr/>
          <w:p>
            <w:pPr>
              <w:pStyle w:val="Compact"/>
              <w:jc w:val="left"/>
            </w:pPr>
            <w:r>
              <w:t xml:space="preserve">0.07%</w:t>
            </w:r>
          </w:p>
        </w:tc>
      </w:tr>
      <w:tr>
        <w:tc>
          <w:tcPr>
            <w:gridSpan w:val="2"/>
          </w:tcPr>
          <w:p>
            <w:pPr>
              <w:pStyle w:val="Compact"/>
              <w:jc w:val="right"/>
            </w:pPr>
            <w:r>
              <w:t xml:space="preserve">Total Product Carbon Footprint:</w:t>
            </w:r>
          </w:p>
        </w:tc>
        <w:tc>
          <w:tcPr/>
          <w:p>
            <w:pPr>
              <w:pStyle w:val="Compact"/>
              <w:jc w:val="left"/>
            </w:pPr>
            <w:r>
              <w:t xml:space="preserve">44.6535 kg CO2e</w:t>
            </w:r>
          </w:p>
        </w:tc>
        <w:tc>
          <w:tcPr/>
          <w:p>
            <w:pPr>
              <w:pStyle w:val="Compact"/>
              <w:jc w:val="left"/>
            </w:pPr>
            <w:r>
              <w:t xml:space="preserve">100.00%</w:t>
            </w:r>
          </w:p>
        </w:tc>
      </w:tr>
    </w:tbl>
    <w:p>
      <w:r>
        <w:pict>
          <v:rect style="width:0;height:1.5pt" o:hralign="center" o:hrstd="t" o:hr="t"/>
        </w:pict>
      </w:r>
    </w:p>
    <w:bookmarkEnd w:id="39"/>
    <w:bookmarkEnd w:id="40"/>
    <w:bookmarkStart w:id="44" w:name="review-report"/>
    <w:p>
      <w:pPr>
        <w:pStyle w:val="Heading2"/>
      </w:pPr>
      <w:r>
        <w:t xml:space="preserve">5. Review &amp; Report</w:t>
      </w:r>
    </w:p>
    <w:bookmarkStart w:id="41" w:name="emissions-hotspots"/>
    <w:p>
      <w:pPr>
        <w:pStyle w:val="Heading3"/>
      </w:pPr>
      <w:r>
        <w:t xml:space="preserve">Emissions Hotspots</w:t>
      </w:r>
    </w:p>
    <w:p>
      <w:pPr>
        <w:pStyle w:val="FirstParagraph"/>
      </w:pPr>
      <w:r>
        <w:t xml:space="preserve">The analysis clearly identifies the</w:t>
      </w:r>
      <w:r>
        <w:t xml:space="preserve"> </w:t>
      </w:r>
      <w:r>
        <w:rPr>
          <w:bCs/>
          <w:b/>
        </w:rPr>
        <w:t xml:space="preserve">Use Phase</w:t>
      </w:r>
      <w:r>
        <w:t xml:space="preserve"> </w:t>
      </w:r>
      <w:r>
        <w:t xml:space="preserve">as the dominant emissions hotspot, accounting for approximately</w:t>
      </w:r>
      <w:r>
        <w:t xml:space="preserve"> </w:t>
      </w:r>
      <w:r>
        <w:rPr>
          <w:bCs/>
          <w:b/>
        </w:rPr>
        <w:t xml:space="preserve">79.95%</w:t>
      </w:r>
      <w:r>
        <w:t xml:space="preserve"> </w:t>
      </w:r>
      <w:r>
        <w:t xml:space="preserve">of the total product carbon footprint. This is primarily driven by the product\'s energy consumption over its 7-year lifespan and the carbon intensity of the European electricity grid mix. Following this,</w:t>
      </w:r>
      <w:r>
        <w:t xml:space="preserve"> </w:t>
      </w:r>
      <w:r>
        <w:rPr>
          <w:bCs/>
          <w:b/>
        </w:rPr>
        <w:t xml:space="preserve">Material Acquisition</w:t>
      </w:r>
      <w:r>
        <w:t xml:space="preserve"> </w:t>
      </w:r>
      <w:r>
        <w:t xml:space="preserve">contributes</w:t>
      </w:r>
      <w:r>
        <w:t xml:space="preserve"> </w:t>
      </w:r>
      <w:r>
        <w:rPr>
          <w:bCs/>
          <w:b/>
        </w:rPr>
        <w:t xml:space="preserve">10.79%</w:t>
      </w:r>
      <w:r>
        <w:t xml:space="preserve">, with the electronic components and steel casing being significant contributors. The</w:t>
      </w:r>
      <w:r>
        <w:t xml:space="preserve"> </w:t>
      </w:r>
      <w:r>
        <w:rPr>
          <w:bCs/>
          <w:b/>
        </w:rPr>
        <w:t xml:space="preserve">Production Phase</w:t>
      </w:r>
      <w:r>
        <w:t xml:space="preserve"> </w:t>
      </w:r>
      <w:r>
        <w:t xml:space="preserve">(Scope 2 electricity) accounts for</w:t>
      </w:r>
      <w:r>
        <w:t xml:space="preserve"> </w:t>
      </w:r>
      <w:r>
        <w:rPr>
          <w:bCs/>
          <w:b/>
        </w:rPr>
        <w:t xml:space="preserve">8.34%</w:t>
      </w:r>
      <w:r>
        <w:t xml:space="preserve">, while</w:t>
      </w:r>
      <w:r>
        <w:t xml:space="preserve"> </w:t>
      </w:r>
      <w:r>
        <w:rPr>
          <w:bCs/>
          <w:b/>
        </w:rPr>
        <w:t xml:space="preserve">Transportation</w:t>
      </w:r>
      <w:r>
        <w:t xml:space="preserve"> </w:t>
      </w:r>
      <w:r>
        <w:t xml:space="preserve">and</w:t>
      </w:r>
      <w:r>
        <w:t xml:space="preserve"> </w:t>
      </w:r>
      <w:r>
        <w:rPr>
          <w:bCs/>
          <w:b/>
        </w:rPr>
        <w:t xml:space="preserve">End-of-Life</w:t>
      </w:r>
      <w:r>
        <w:t xml:space="preserve"> </w:t>
      </w:r>
      <w:r>
        <w:t xml:space="preserve">phases represent smaller, but still relevant, portions of the overall footprint.</w:t>
      </w:r>
    </w:p>
    <w:bookmarkEnd w:id="41"/>
    <w:bookmarkStart w:id="42" w:name="data-reliability-and-limitations"/>
    <w:p>
      <w:pPr>
        <w:pStyle w:val="Heading3"/>
      </w:pPr>
      <w:r>
        <w:t xml:space="preserve">Data Reliability and Limitations</w:t>
      </w:r>
    </w:p>
    <w:p>
      <w:pPr>
        <w:pStyle w:val="FirstParagraph"/>
      </w:pPr>
      <w:r>
        <w:t xml:space="preserve">The reliability of this PCF is considered high, given the use of specific activity data where provided (BOM, energy intensity, lifespan, recyclability) and the application of widely recognized, up-to-date industry-standard emission factors (e.g., from national and regional energy mixes, and transport databases). Where specific parameters were provided as generic strings (e.g., \'Select Mode\', \'mwqrxjidiw\'), plausible and conservative numerical assumptions have been made, which are clearly stated in Section 2. These assumptions are based on typical industry averages and geographical context, aiming for a realistic assessment. A full PCF would ideally benefit from primary data across all supply chain tiers for even greater accuracy, but the current approach provides a robust estimate.</w:t>
      </w:r>
    </w:p>
    <w:bookmarkEnd w:id="42"/>
    <w:bookmarkStart w:id="43" w:name="recommendations-for-emissions-reduction"/>
    <w:p>
      <w:pPr>
        <w:pStyle w:val="Heading3"/>
      </w:pPr>
      <w:r>
        <w:t xml:space="preserve">Recommendations for Emissions Reduction</w:t>
      </w:r>
    </w:p>
    <w:p>
      <w:pPr>
        <w:pStyle w:val="FirstParagraph"/>
      </w:pPr>
      <w:r>
        <w:t xml:space="preserve">Based on the identified hotspots, wmnkgxghox should focus on the following strategies to reduce the carbon footprint of \'pujqxrdlqi\':</w:t>
      </w:r>
    </w:p>
    <w:p>
      <w:pPr>
        <w:numPr>
          <w:ilvl w:val="0"/>
          <w:numId w:val="1015"/>
        </w:numPr>
        <w:pStyle w:val="Compact"/>
      </w:pPr>
      <w:r>
        <w:rPr>
          <w:bCs/>
          <w:b/>
        </w:rPr>
        <w:t xml:space="preserve">Optimize Use Phase Energy Efficiency:</w:t>
      </w:r>
      <w:r>
        <w:t xml:space="preserve"> </w:t>
      </w:r>
      <w:r>
        <w:t xml:space="preserve">This is the most critical area. Invest in research and development to significantly reduce the product\'s energy consumption during its use phase. This could involve more efficient components, smarter power management, or longer average lifespan for the product\'s major components.</w:t>
      </w:r>
    </w:p>
    <w:p>
      <w:pPr>
        <w:numPr>
          <w:ilvl w:val="0"/>
          <w:numId w:val="1015"/>
        </w:numPr>
        <w:pStyle w:val="Compact"/>
      </w:pPr>
      <w:r>
        <w:rPr>
          <w:bCs/>
          <w:b/>
        </w:rPr>
        <w:t xml:space="preserve">Promote Renewable Energy Adoption by End-Users:</w:t>
      </w:r>
      <w:r>
        <w:t xml:space="preserve"> </w:t>
      </w:r>
      <w:r>
        <w:t xml:space="preserve">While direct influence is limited, wmnkgxghox could explore partnerships or provide information to customers on sourcing renewable electricity to power their products, thereby indirectly reducing the use phase footprint.</w:t>
      </w:r>
    </w:p>
    <w:p>
      <w:pPr>
        <w:numPr>
          <w:ilvl w:val="0"/>
          <w:numId w:val="1015"/>
        </w:numPr>
        <w:pStyle w:val="Compact"/>
      </w:pPr>
      <w:r>
        <w:rPr>
          <w:bCs/>
          <w:b/>
        </w:rPr>
        <w:t xml:space="preserve">Material Decarbonization:</w:t>
      </w:r>
      <w:r>
        <w:t xml:space="preserve"> </w:t>
      </w:r>
      <w:r>
        <w:t xml:space="preserve">Engage with suppliers to identify lower-carbon alternatives for key materials (e.g., lower-carbon steel, recycled plastics with reduced virgin content). Explore lightweighting initiatives without compromising product integrity.</w:t>
      </w:r>
    </w:p>
    <w:p>
      <w:pPr>
        <w:numPr>
          <w:ilvl w:val="0"/>
          <w:numId w:val="1015"/>
        </w:numPr>
        <w:pStyle w:val="Compact"/>
      </w:pPr>
      <w:r>
        <w:rPr>
          <w:bCs/>
          <w:b/>
        </w:rPr>
        <w:t xml:space="preserve">Enhance Production Renewable Energy:</w:t>
      </w:r>
      <w:r>
        <w:t xml:space="preserve"> </w:t>
      </w:r>
      <w:r>
        <w:t xml:space="preserve">Continue to increase the share of renewable energy used in production facilities. While already at 60%, aiming for 100% renewable electricity for manufacturing will further reduce Scope 2 emissions.</w:t>
      </w:r>
    </w:p>
    <w:p>
      <w:pPr>
        <w:numPr>
          <w:ilvl w:val="0"/>
          <w:numId w:val="1015"/>
        </w:numPr>
        <w:pStyle w:val="Compact"/>
      </w:pPr>
      <w:r>
        <w:rPr>
          <w:bCs/>
          <w:b/>
        </w:rPr>
        <w:t xml:space="preserve">Strengthen Circularity at End-of-Life:</w:t>
      </w:r>
      <w:r>
        <w:t xml:space="preserve"> </w:t>
      </w:r>
      <w:r>
        <w:t xml:space="preserve">Capitalize on the established circular/take-back programs. While 75% recyclability is good, continuously improve material recovery rates and explore innovative recycling technologies or product-as-a-service models to maximize material retention in the economy and minimize landfill waste.</w:t>
      </w:r>
    </w:p>
    <w:p>
      <w:pPr>
        <w:numPr>
          <w:ilvl w:val="0"/>
          <w:numId w:val="1015"/>
        </w:numPr>
        <w:pStyle w:val="Compact"/>
      </w:pPr>
      <w:r>
        <w:rPr>
          <w:bCs/>
          <w:b/>
        </w:rPr>
        <w:t xml:space="preserve">Logistics Optimization:</w:t>
      </w:r>
      <w:r>
        <w:t xml:space="preserve"> </w:t>
      </w:r>
      <w:r>
        <w:t xml:space="preserve">Continuously optimize transport routes and modes, prioritizing lower-emission options like rail or electric vehicles where feasible, especially for intra-European distribution and last-mile delivery.</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pujqxrdlqi</dc:title>
  <dc:creator/>
  <dc:description>High-detail Product Carbon Footprint (PCF) analysis for product pujqxrdlqi, adhering to GHG Protocol standards and 2026 updates, conducted by Senior Sustainability Consultant ydznudktxn for wmnkgxghox.</dc:description>
  <dc:language>en</dc:language>
  <cp:keywords/>
  <dcterms:created xsi:type="dcterms:W3CDTF">2026-05-30T18:33:42Z</dcterms:created>
  <dcterms:modified xsi:type="dcterms:W3CDTF">2026-05-30T18:33:42Z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