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psimxlrnps</w:t>
      </w:r>
    </w:p>
    <w:p>
      <w:pPr>
        <w:pStyle w:val="FirstParagraph"/>
      </w:pPr>
      <w:r>
        <w:t xml:space="preserve">carboncalcpcf.com</w:t>
      </w:r>
    </w:p>
    <w:bookmarkStart w:id="20" w:name="X47912878464c8ac8fc21926d2753d7cdc1fcbd9"/>
    <w:p>
      <w:pPr>
        <w:pStyle w:val="Heading1"/>
      </w:pPr>
      <w:r>
        <w:t xml:space="preserve">Product Carbon Footprint Analysis for psimxlrnps</w:t>
      </w:r>
    </w:p>
    <w:p>
      <w:pPr>
        <w:pStyle w:val="FirstParagraph"/>
      </w:pPr>
      <w:r>
        <w:rPr>
          <w:bCs/>
          <w:b/>
        </w:rPr>
        <w:t xml:space="preserve">Company Name:</w:t>
      </w:r>
      <w:r>
        <w:t xml:space="preserve"> </w:t>
      </w:r>
      <w:r>
        <w:t xml:space="preserve">voufygkoel</w:t>
      </w:r>
    </w:p>
    <w:p>
      <w:pPr>
        <w:pStyle w:val="BodyText"/>
      </w:pPr>
      <w:r>
        <w:rPr>
          <w:bCs/>
          <w:b/>
        </w:rPr>
        <w:t xml:space="preserve">Senior Sustainability Consultant:</w:t>
      </w:r>
      <w:r>
        <w:t xml:space="preserve"> </w:t>
      </w:r>
      <w:r>
        <w:t xml:space="preserve">molsgfmgtv</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 carbon footprint.</w:t>
      </w:r>
    </w:p>
    <w:bookmarkEnd w:id="20"/>
    <w:bookmarkStart w:id="21" w:name="Xd4980e3206e79a6ac7ebac35aab222889688115"/>
    <w:p>
      <w:pPr>
        <w:pStyle w:val="Heading1"/>
      </w:pPr>
      <w:r>
        <w:t xml:space="preserve">Product Carbon Footprint Analysis for psimxlrnps</w:t>
      </w:r>
    </w:p>
    <w:p>
      <w:pPr>
        <w:pStyle w:val="FirstParagraph"/>
      </w:pPr>
      <w:r>
        <w:t xml:space="preserve">Generated Date: May 29,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psimxlrnps, manufactured by voufygkoel. The assessment adheres to the Greenhouse Gas (GHG) Protocol standards, encompassing Scope 1, Scope 2, and Scope 3 emissions across the product\'s lifecycle. Special attention has been given to the 2026 Land Sector and Removals (LSR) Standard update and achieving at least 95% coverage for Scope 3 reporting, reflecting current best practices in sustainability consulting.</w:t>
      </w:r>
    </w:p>
    <w:p>
      <w:pPr>
        <w:pStyle w:val="BodyText"/>
      </w:pPr>
      <w:r>
        <w:t xml:space="preserve">The total Product Carbon Footprint for one functional unit of psimxlrnps is calculated to be approximately</w:t>
      </w:r>
      <w:r>
        <w:t xml:space="preserve"> </w:t>
      </w:r>
      <w:r>
        <w:rPr>
          <w:bCs/>
          <w:b/>
        </w:rPr>
        <w:t xml:space="preserve">24.12 kg CO2e</w:t>
      </w:r>
      <w:r>
        <w:t xml:space="preserve">. The use phase of the product represents the largest emission hotspot, followed by material acquisition and pre-processing. Significant circular economy impacts are identified through the product\'s recyclability and established take-back programs, contributing a net carbon credit at end-of-life.</w:t>
      </w:r>
    </w:p>
    <w:bookmarkEnd w:id="22"/>
    <w:p>
      <w:r>
        <w:pict>
          <v:rect style="width:0;height:1.5pt" o:hralign="center" o:hrstd="t" o:hr="t"/>
        </w:pict>
      </w:r>
    </w:p>
    <w:bookmarkStart w:id="28" w:name="methodology"/>
    <w:p>
      <w:pPr>
        <w:pStyle w:val="Heading2"/>
      </w:pPr>
      <w:r>
        <w:t xml:space="preserve">2. Methodology</w:t>
      </w:r>
    </w:p>
    <w:p>
      <w:pPr>
        <w:pStyle w:val="FirstParagraph"/>
      </w:pPr>
      <w:r>
        <w:t xml:space="preserve">The Product Carbon Footprint (PCF) analysis for psimxlrnps follows a structured, five-step approach as prescribed by leading sustainability frameworks, including the GHG Protocol Product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psimxlrnps.</w:t>
      </w:r>
    </w:p>
    <w:p>
      <w:pPr>
        <w:numPr>
          <w:ilvl w:val="0"/>
          <w:numId w:val="1001"/>
        </w:numPr>
        <w:pStyle w:val="Compact"/>
      </w:pPr>
      <w:r>
        <w:rPr>
          <w:bCs/>
          <w:b/>
        </w:rPr>
        <w:t xml:space="preserve">System Boundary:</w:t>
      </w:r>
      <w:r>
        <w:t xml:space="preserve"> </w:t>
      </w:r>
      <w:r>
        <w:t xml:space="preserve">The analysis adopts a \'factory_gate\' to \'grave\' system boundary, covering all stages from raw material extraction to end-of-life treatment. Emissions directly associated with the manufacturing facility, upstream supply chain, product use, and end-of-life are included.</w:t>
      </w:r>
    </w:p>
    <w:p>
      <w:pPr>
        <w:numPr>
          <w:ilvl w:val="0"/>
          <w:numId w:val="1001"/>
        </w:numPr>
        <w:pStyle w:val="Compact"/>
      </w:pPr>
      <w:r>
        <w:rPr>
          <w:bCs/>
          <w:b/>
        </w:rPr>
        <w:t xml:space="preserve">Geographic Scope:</w:t>
      </w:r>
      <w:r>
        <w:t xml:space="preserve"> </w:t>
      </w:r>
      <w:r>
        <w:t xml:space="preserve">The final production country is China, with a supply chain focus on Europe for upstream transportation.</w:t>
      </w:r>
    </w:p>
    <w:p>
      <w:pPr>
        <w:numPr>
          <w:ilvl w:val="0"/>
          <w:numId w:val="1001"/>
        </w:numPr>
        <w:pStyle w:val="Compact"/>
      </w:pPr>
      <w:r>
        <w:rPr>
          <w:bCs/>
          <w:b/>
        </w:rPr>
        <w:t xml:space="preserve">Accounting Standard:</w:t>
      </w:r>
      <w:r>
        <w:t xml:space="preserve"> </w:t>
      </w:r>
      <w:r>
        <w:t xml:space="preserve">This assessment strictly adheres to the GHG Protocol Product Life Cycle Accounting and Reporting Standard. Emissions are categorized into Scope 1 (direct emissions), Scope 2 (indirect emissions from purchased energy), and Scope 3 (all other indirect emissions in the value chain). The analysis also incorporates principles from the 2026 Land Sector and Removals (LSR) Standard for land use and carbon removals, where applicable.</w:t>
      </w:r>
    </w:p>
    <w:p>
      <w:pPr>
        <w:numPr>
          <w:ilvl w:val="0"/>
          <w:numId w:val="1001"/>
        </w:numPr>
        <w:pStyle w:val="Compact"/>
      </w:pPr>
      <w:r>
        <w:rPr>
          <w:bCs/>
          <w:b/>
        </w:rPr>
        <w:t xml:space="preserve">Allocation:</w:t>
      </w:r>
      <w:r>
        <w:t xml:space="preserve"> </w:t>
      </w:r>
      <w:r>
        <w:t xml:space="preserve">Emissions are allocated based on mass for material components and energy consumption for process-related emissions. For co-products or multi-functional processes, appropriate allocation rules are applied, consistent with GHG Protocol guidelines.</w:t>
      </w:r>
    </w:p>
    <w:bookmarkEnd w:id="23"/>
    <w:bookmarkStart w:id="24" w:name="map-lifecycle-lci-inventory-stages"/>
    <w:p>
      <w:pPr>
        <w:pStyle w:val="Heading3"/>
      </w:pPr>
      <w:r>
        <w:t xml:space="preserve">2.2. Map Lifecycle (LCI Inventory Stages)</w:t>
      </w:r>
    </w:p>
    <w:p>
      <w:pPr>
        <w:pStyle w:val="FirstParagraph"/>
      </w:pPr>
      <w:r>
        <w:t xml:space="preserve">The lifecycle of psimxlrnps has been mapped into distinct stages to facilitate comprehensive data collection and emission calculation:</w:t>
      </w:r>
    </w:p>
    <w:p>
      <w:pPr>
        <w:numPr>
          <w:ilvl w:val="0"/>
          <w:numId w:val="1002"/>
        </w:numPr>
        <w:pStyle w:val="Compact"/>
      </w:pPr>
      <w:r>
        <w:rPr>
          <w:bCs/>
          <w:b/>
        </w:rPr>
        <w:t xml:space="preserve">Material Acquisition &amp; Pre-processing (Upstream):</w:t>
      </w:r>
      <w:r>
        <w:t xml:space="preserve"> </w:t>
      </w:r>
      <w:r>
        <w:t xml:space="preserve">This stage covers the extraction of raw materials, their initial processing, and the manufacturing of components as detailed in the Bill of Materials (BOM).</w:t>
      </w:r>
    </w:p>
    <w:p>
      <w:pPr>
        <w:numPr>
          <w:ilvl w:val="0"/>
          <w:numId w:val="1002"/>
        </w:numPr>
        <w:pStyle w:val="Compact"/>
      </w:pPr>
      <w:r>
        <w:rPr>
          <w:bCs/>
          <w:b/>
        </w:rPr>
        <w:t xml:space="preserve">Production Phase (Core Operations):</w:t>
      </w:r>
      <w:r>
        <w:t xml:space="preserve"> </w:t>
      </w:r>
      <w:r>
        <w:t xml:space="preserve">Emissions associated with the manufacturing process at voufygkoel\'s facility, including energy consumption for machinery and facility operations.</w:t>
      </w:r>
    </w:p>
    <w:p>
      <w:pPr>
        <w:numPr>
          <w:ilvl w:val="0"/>
          <w:numId w:val="1002"/>
        </w:numPr>
        <w:pStyle w:val="Compact"/>
      </w:pPr>
      <w:r>
        <w:rPr>
          <w:bCs/>
          <w:b/>
        </w:rPr>
        <w:t xml:space="preserve">Transportation (Upstream &amp; Downstream):</w:t>
      </w:r>
      <w:r>
        <w:t xml:space="preserve"> </w:t>
      </w:r>
      <w:r>
        <w:t xml:space="preserve">Includes transport of raw materials and components to the factory (upstream) and the distribution of the finished product to the end-consumer (downstream, including last-mile delivery).</w:t>
      </w:r>
    </w:p>
    <w:p>
      <w:pPr>
        <w:numPr>
          <w:ilvl w:val="0"/>
          <w:numId w:val="1002"/>
        </w:numPr>
        <w:pStyle w:val="Compact"/>
      </w:pPr>
      <w:r>
        <w:rPr>
          <w:bCs/>
          <w:b/>
        </w:rPr>
        <w:t xml:space="preserve">Use Phase:</w:t>
      </w:r>
      <w:r>
        <w:t xml:space="preserve"> </w:t>
      </w:r>
      <w:r>
        <w:t xml:space="preserve">Accounts for energy consumption during the product\'s operational lifespan by the end-user.</w:t>
      </w:r>
    </w:p>
    <w:p>
      <w:pPr>
        <w:numPr>
          <w:ilvl w:val="0"/>
          <w:numId w:val="1002"/>
        </w:numPr>
        <w:pStyle w:val="Compact"/>
      </w:pPr>
      <w:r>
        <w:rPr>
          <w:bCs/>
          <w:b/>
        </w:rPr>
        <w:t xml:space="preserve">End-of-Life (EoL) Treatment:</w:t>
      </w:r>
      <w:r>
        <w:t xml:space="preserve"> </w:t>
      </w:r>
      <w:r>
        <w:t xml:space="preserve">Covers emissions or avoided emissions associated with the disposal, recycling, or recovery of the product and its components at the end of its useful life.</w:t>
      </w:r>
    </w:p>
    <w:bookmarkEnd w:id="24"/>
    <w:bookmarkStart w:id="25" w:name="Xb57f50a89bf1f3f1837369be949d9d60d6c1272"/>
    <w:p>
      <w:pPr>
        <w:pStyle w:val="Heading3"/>
      </w:pPr>
      <w:r>
        <w:t xml:space="preserve">2.3. Collect Data (Primary/Secondary Data Points)</w:t>
      </w:r>
    </w:p>
    <w:p>
      <w:pPr>
        <w:pStyle w:val="FirstParagraph"/>
      </w:pPr>
      <w:r>
        <w:t xml:space="preserve">A hybrid data collection approach was utilized:</w:t>
      </w:r>
    </w:p>
    <w:p>
      <w:pPr>
        <w:numPr>
          <w:ilvl w:val="0"/>
          <w:numId w:val="1003"/>
        </w:numPr>
        <w:pStyle w:val="Compact"/>
      </w:pPr>
      <w:r>
        <w:rPr>
          <w:bCs/>
          <w:b/>
        </w:rPr>
        <w:t xml:space="preserve">Primary Data:</w:t>
      </w:r>
      <w:r>
        <w:t xml:space="preserve"> </w:t>
      </w:r>
      <w:r>
        <w:t xml:space="preserve">Specific data points provided by voufygkoel were used for high-accuracy calculations, including the Detailed Bill of Materials (BOM), energy consumption in production, renewable energy usage, product lifespan, energy consumption during use, recyclability percentage, and details on circular/take-back programs.</w:t>
      </w:r>
    </w:p>
    <w:p>
      <w:pPr>
        <w:numPr>
          <w:ilvl w:val="0"/>
          <w:numId w:val="1003"/>
        </w:numPr>
        <w:pStyle w:val="Compact"/>
      </w:pPr>
      <w:r>
        <w:rPr>
          <w:bCs/>
          <w:b/>
        </w:rPr>
        <w:t xml:space="preserve">Secondary Data:</w:t>
      </w:r>
      <w:r>
        <w:t xml:space="preserve"> </w:t>
      </w:r>
      <w:r>
        <w:t xml:space="preserve">Industry-standard emission factors were sourced from reputable databases (e.g., Ecoinvent, DEFRA, IEA, MEE, GLEC) for electricity grids, transportation modes, and general material processing where primary data was unavailable or to cross-verify.</w:t>
      </w:r>
    </w:p>
    <w:p>
      <w:pPr>
        <w:pStyle w:val="FirstParagraph"/>
      </w:pPr>
      <w:r>
        <w:t xml:space="preserve">The analysis ensures at least 95% coverage for Scope 3 reporting, in line with 2026 requirements, by thoroughly addressing all relevant upstream and downstream value chain activities.</w:t>
      </w:r>
    </w:p>
    <w:bookmarkEnd w:id="25"/>
    <w:bookmarkStart w:id="26" w:name="Xb404f6bea4a0013006ec7a9103609d9ea6643c1"/>
    <w:p>
      <w:pPr>
        <w:pStyle w:val="Heading3"/>
      </w:pPr>
      <w:r>
        <w:t xml:space="preserve">2.4. Calculate Emissions (Activity * Emission Factor = CO2e)</w:t>
      </w:r>
    </w:p>
    <w:p>
      <w:pPr>
        <w:pStyle w:val="FirstParagraph"/>
      </w:pPr>
      <w:r>
        <w:t xml:space="preserve">Emissions were calculated by multiplying activity data (e.g., kg of material, kWh of electricity, tkm of transport) by their respective emission factors (kg CO2e per unit of activity). Global Warming Potentials (GWPs) from the IPCC Fifth Assessment Report (AR5) were used to convert non-CO2 greenhouse gases (CH4, N2O, etc.) into CO2 equivalents (CO2e).</w:t>
      </w:r>
    </w:p>
    <w:bookmarkEnd w:id="26"/>
    <w:bookmarkStart w:id="27" w:name="review-report"/>
    <w:p>
      <w:pPr>
        <w:pStyle w:val="Heading3"/>
      </w:pPr>
      <w:r>
        <w:t xml:space="preserve">2.5. Review &amp; Report</w:t>
      </w:r>
    </w:p>
    <w:p>
      <w:pPr>
        <w:pStyle w:val="FirstParagraph"/>
      </w:pPr>
      <w:r>
        <w:t xml:space="preserve">The calculated PCF undergoes a review to identify emission hotspots, assess data reliability, and formulate recommendations for reduction. The results are presented in a transparent and comprehensive manner, highlighting key contributors to the overall footprint.</w:t>
      </w:r>
    </w:p>
    <w:bookmarkEnd w:id="27"/>
    <w:bookmarkEnd w:id="28"/>
    <w:p>
      <w:r>
        <w:pict>
          <v:rect style="width:0;height:1.5pt" o:hralign="center" o:hrstd="t" o:hr="t"/>
        </w:pict>
      </w:r>
    </w:p>
    <w:bookmarkStart w:id="31" w:name="X375f90d34e2738bf774185f3c83efd090ce459a"/>
    <w:p>
      <w:pPr>
        <w:pStyle w:val="Heading2"/>
      </w:pPr>
      <w:r>
        <w:t xml:space="preserve">3. Detailed Breakdown of Materials and Energy Inputs</w:t>
      </w:r>
    </w:p>
    <w:p>
      <w:pPr>
        <w:pStyle w:val="FirstParagraph"/>
      </w:pPr>
      <w:r>
        <w:t xml:space="preserve">This section details the primary data used for the PCF calculation, drawing directly from the provided parameters.</w:t>
      </w:r>
    </w:p>
    <w:bookmarkStart w:id="29" w:name="bill-of-materials-bom-data-jktgpmph"/>
    <w:p>
      <w:pPr>
        <w:pStyle w:val="Heading3"/>
      </w:pPr>
      <w:r>
        <w:t xml:space="preserve">3.1. Bill of Materials (BOM) Data (jktgpmph)</w:t>
      </w:r>
    </w:p>
    <w:p>
      <w:pPr>
        <w:pStyle w:val="FirstParagraph"/>
      </w:pPr>
      <w:r>
        <w:t xml:space="preserve">The following detailed Bill of Materials was used for calculating the material acquisition and pre-processing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7</w:t>
            </w:r>
          </w:p>
        </w:tc>
        <w:tc>
          <w:tcPr/>
          <w:p>
            <w:pPr>
              <w:pStyle w:val="Compact"/>
              <w:jc w:val="left"/>
            </w:pPr>
            <w:r>
              <w:t xml:space="preserve">Screws (Steel)</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0.04</w:t>
            </w:r>
          </w:p>
        </w:tc>
      </w:tr>
    </w:tbl>
    <w:p>
      <w:pPr>
        <w:pStyle w:val="BodyText"/>
      </w:pPr>
      <w:r>
        <w:rPr>
          <w:bCs/>
          <w:b/>
        </w:rPr>
        <w:t xml:space="preserve">Total Product Weight (sum of quantities from BOM excluding unit-based items if not explicitly weighted):</w:t>
      </w:r>
      <w:r>
        <w:t xml:space="preserve"> </w:t>
      </w:r>
      <w:r>
        <w:t xml:space="preserve">Approximately 1.32 kg (0.5 + 0.3 + 0.1 + 0.15 + 0.02 kg + assumed weights for PCB and Battery for overall mass estimates).</w:t>
      </w:r>
    </w:p>
    <w:bookmarkEnd w:id="29"/>
    <w:bookmarkStart w:id="30" w:name="energy-inputs-other-parameters"/>
    <w:p>
      <w:pPr>
        <w:pStyle w:val="Heading3"/>
      </w:pPr>
      <w:r>
        <w:t xml:space="preserve">3.2. Energy Inputs &amp; Other Parameters</w:t>
      </w:r>
    </w:p>
    <w:p>
      <w:pPr>
        <w:numPr>
          <w:ilvl w:val="0"/>
          <w:numId w:val="1004"/>
        </w:numPr>
        <w:pStyle w:val="Compact"/>
      </w:pPr>
      <w:r>
        <w:rPr>
          <w:bCs/>
          <w:b/>
        </w:rPr>
        <w:t xml:space="preserve">Renewable Energy Usage:</w:t>
      </w:r>
      <w:r>
        <w:t xml:space="preserve"> </w:t>
      </w:r>
      <w:r>
        <w:t xml:space="preserve">40% (ieeqhjqsgy)</w:t>
      </w:r>
    </w:p>
    <w:p>
      <w:pPr>
        <w:numPr>
          <w:ilvl w:val="0"/>
          <w:numId w:val="1004"/>
        </w:numPr>
        <w:pStyle w:val="Compact"/>
      </w:pPr>
      <w:r>
        <w:rPr>
          <w:bCs/>
          <w:b/>
        </w:rPr>
        <w:t xml:space="preserve">Energy Intensity (kWh/unit):</w:t>
      </w:r>
      <w:r>
        <w:t xml:space="preserve"> </w:t>
      </w:r>
      <w:r>
        <w:t xml:space="preserve">10 kWh/unit (gwrzfrfwej)</w:t>
      </w:r>
    </w:p>
    <w:p>
      <w:pPr>
        <w:numPr>
          <w:ilvl w:val="0"/>
          <w:numId w:val="1004"/>
        </w:numPr>
        <w:pStyle w:val="Compact"/>
      </w:pPr>
      <w:r>
        <w:rPr>
          <w:bCs/>
          <w:b/>
        </w:rPr>
        <w:t xml:space="preserve">Product Lifespan:</w:t>
      </w:r>
      <w:r>
        <w:t xml:space="preserve"> </w:t>
      </w:r>
      <w:r>
        <w:t xml:space="preserve">5 years (mmlykvqmqn)</w:t>
      </w:r>
    </w:p>
    <w:p>
      <w:pPr>
        <w:numPr>
          <w:ilvl w:val="0"/>
          <w:numId w:val="1004"/>
        </w:numPr>
        <w:pStyle w:val="Compact"/>
      </w:pPr>
      <w:r>
        <w:rPr>
          <w:bCs/>
          <w:b/>
        </w:rPr>
        <w:t xml:space="preserve">Energy Consumption in Use:</w:t>
      </w:r>
      <w:r>
        <w:t xml:space="preserve"> </w:t>
      </w:r>
      <w:r>
        <w:t xml:space="preserve">5 kWh/year (wrznymggfy)</w:t>
      </w:r>
    </w:p>
    <w:p>
      <w:pPr>
        <w:numPr>
          <w:ilvl w:val="0"/>
          <w:numId w:val="1004"/>
        </w:numPr>
        <w:pStyle w:val="Compact"/>
      </w:pPr>
      <w:r>
        <w:rPr>
          <w:bCs/>
          <w:b/>
        </w:rPr>
        <w:t xml:space="preserve">Recyclability Percentage:</w:t>
      </w:r>
      <w:r>
        <w:t xml:space="preserve"> </w:t>
      </w:r>
      <w:r>
        <w:t xml:space="preserve">70% (pltgsktxvt)</w:t>
      </w:r>
    </w:p>
    <w:p>
      <w:pPr>
        <w:numPr>
          <w:ilvl w:val="0"/>
          <w:numId w:val="1004"/>
        </w:numPr>
        <w:pStyle w:val="Compact"/>
      </w:pPr>
      <w:r>
        <w:rPr>
          <w:bCs/>
          <w:b/>
        </w:rPr>
        <w:t xml:space="preserve">Circular/Take-back Programs:</w:t>
      </w:r>
      <w:r>
        <w:t xml:space="preserve"> </w:t>
      </w:r>
      <w:r>
        <w:t xml:space="preserve">Yes, established consumer take-back program (jmhiiemivm)</w:t>
      </w:r>
    </w:p>
    <w:bookmarkEnd w:id="30"/>
    <w:bookmarkEnd w:id="31"/>
    <w:p>
      <w:r>
        <w:pict>
          <v:rect style="width:0;height:1.5pt" o:hralign="center" o:hrstd="t" o:hr="t"/>
        </w:pict>
      </w:r>
    </w:p>
    <w:bookmarkStart w:id="40" w:name="emissions-calculation"/>
    <w:p>
      <w:pPr>
        <w:pStyle w:val="Heading2"/>
      </w:pPr>
      <w:r>
        <w:t xml:space="preserve">4. Emissions Calculation</w:t>
      </w:r>
    </w:p>
    <w:p>
      <w:pPr>
        <w:pStyle w:val="FirstParagraph"/>
      </w:pPr>
      <w:r>
        <w:t xml:space="preserve">The following calculations provide a detailed breakdown of emissions across the product lifecycle, categorized by GHG Protocol scopes.</w:t>
      </w:r>
    </w:p>
    <w:bookmarkStart w:id="32" w:name="scope-1-emissions-direct-emissions"/>
    <w:p>
      <w:pPr>
        <w:pStyle w:val="Heading3"/>
      </w:pPr>
      <w:r>
        <w:t xml:space="preserve">4.1. Scope 1 Emissions (Direct Emissions)</w:t>
      </w:r>
    </w:p>
    <w:p>
      <w:pPr>
        <w:pStyle w:val="FirstParagraph"/>
      </w:pPr>
      <w:r>
        <w:t xml:space="preserve">Based on the system boundary (factory_gate) and the nature of the product, direct Scope 1 emissions from voufygkoel\'s owned or controlled sources for the manufacturing of psimxlrnps are considered negligible or not explicitly quantified in the provided parameters for this product-level analysis. Any direct emissions from company-owned fleet for upstream or downstream transport would be captured under relevant Scope 3 categories as per PCF methodology, or if explicitly defined as Scope 1 for the company, would be allocated here. For this PCF, the focus for direct emissions is minimal, as energy consumption is accounted for under Scope 2.</w:t>
      </w:r>
    </w:p>
    <w:p>
      <w:pPr>
        <w:pStyle w:val="BodyText"/>
      </w:pPr>
      <w:r>
        <w:rPr>
          <w:bCs/>
          <w:b/>
        </w:rPr>
        <w:t xml:space="preserve">Total Scope 1 Emissions: 0.00 kg CO2e</w:t>
      </w:r>
    </w:p>
    <w:bookmarkEnd w:id="32"/>
    <w:bookmarkStart w:id="33" w:name="scope-2-emissions-purchased-energy"/>
    <w:p>
      <w:pPr>
        <w:pStyle w:val="Heading3"/>
      </w:pPr>
      <w:r>
        <w:t xml:space="preserve">4.2. Scope 2 Emissions (Purchased Energy)</w:t>
      </w:r>
    </w:p>
    <w:p>
      <w:pPr>
        <w:pStyle w:val="FirstParagraph"/>
      </w:pPr>
      <w:r>
        <w:t xml:space="preserve">This category covers indirect emissions from the generation of purchased electricity consumed during the production phase in China.</w:t>
      </w:r>
    </w:p>
    <w:p>
      <w:pPr>
        <w:numPr>
          <w:ilvl w:val="0"/>
          <w:numId w:val="1005"/>
        </w:numPr>
        <w:pStyle w:val="Compact"/>
      </w:pPr>
      <w:r>
        <w:t xml:space="preserve">Energy Intensity: 10 kWh/unit [cite: gwrzfrfwej]</w:t>
      </w:r>
    </w:p>
    <w:p>
      <w:pPr>
        <w:numPr>
          <w:ilvl w:val="0"/>
          <w:numId w:val="1005"/>
        </w:numPr>
        <w:pStyle w:val="Compact"/>
      </w:pPr>
      <w:r>
        <w:t xml:space="preserve">Renewable Energy Usage: 40% [cite: ieeqhjqsgy]</w:t>
      </w:r>
    </w:p>
    <w:p>
      <w:pPr>
        <w:numPr>
          <w:ilvl w:val="0"/>
          <w:numId w:val="1005"/>
        </w:numPr>
        <w:pStyle w:val="Compact"/>
      </w:pPr>
      <w:r>
        <w:t xml:space="preserve">Non-renewable electricity: 10 kWh/unit * (1 - 0.40) = 6 kWh/unit</w:t>
      </w:r>
    </w:p>
    <w:p>
      <w:pPr>
        <w:numPr>
          <w:ilvl w:val="0"/>
          <w:numId w:val="1005"/>
        </w:numPr>
        <w:pStyle w:val="Compact"/>
      </w:pPr>
      <w:r>
        <w:t xml:space="preserve">China Electricity Grid Emission Factor: 0.6205 kg CO2e/kWh (2023 national average)</w:t>
      </w:r>
    </w:p>
    <w:p>
      <w:pPr>
        <w:numPr>
          <w:ilvl w:val="0"/>
          <w:numId w:val="1005"/>
        </w:numPr>
        <w:pStyle w:val="Compact"/>
      </w:pPr>
      <w:r>
        <w:rPr>
          <w:bCs/>
          <w:b/>
        </w:rPr>
        <w:t xml:space="preserve">Production Phase Emissions (Scope 2):</w:t>
      </w:r>
      <w:r>
        <w:t xml:space="preserve"> </w:t>
      </w:r>
      <w:r>
        <w:t xml:space="preserve">6 kWh/unit * 0.6205 kg CO2e/kWh =</w:t>
      </w:r>
      <w:r>
        <w:t xml:space="preserve"> </w:t>
      </w:r>
      <w:r>
        <w:rPr>
          <w:bCs/>
          <w:b/>
        </w:rPr>
        <w:t xml:space="preserve">3.723 kg CO2e</w:t>
      </w:r>
    </w:p>
    <w:p>
      <w:pPr>
        <w:pStyle w:val="FirstParagraph"/>
      </w:pPr>
      <w:r>
        <w:rPr>
          <w:bCs/>
          <w:b/>
        </w:rPr>
        <w:t xml:space="preserve">Total Scope 2 Emissions: 3.723 kg CO2e</w:t>
      </w:r>
    </w:p>
    <w:bookmarkEnd w:id="33"/>
    <w:bookmarkStart w:id="39" w:name="scope-3-emissions-value-chain-emissions"/>
    <w:p>
      <w:pPr>
        <w:pStyle w:val="Heading3"/>
      </w:pPr>
      <w:r>
        <w:t xml:space="preserve">4.3. Scope 3 Emissions (Value Chain Emissions)</w:t>
      </w:r>
    </w:p>
    <w:p>
      <w:pPr>
        <w:pStyle w:val="FirstParagraph"/>
      </w:pPr>
      <w:r>
        <w:t xml:space="preserve">Scope 3 emissions are comprehensively accounted for, ensuring high coverage as per 2026 requirements.</w:t>
      </w:r>
    </w:p>
    <w:bookmarkStart w:id="34" w:name="Xf433b39135ba56c7f8e853d9837b5351625a170"/>
    <w:p>
      <w:pPr>
        <w:pStyle w:val="Heading4"/>
      </w:pPr>
      <w:r>
        <w:t xml:space="preserve">4.3.1. Category 1: Purchased Goods and Services (Material Acquisition &amp; Pre-processing)</w:t>
      </w:r>
    </w:p>
    <w:p>
      <w:pPr>
        <w:pStyle w:val="FirstParagraph"/>
      </w:pPr>
      <w:r>
        <w:t xml:space="preserve">Emissions from the extraction, production, and pre-processing of raw materials and components, utilizing the "Total Carbon" values directly from the provided Detailed Bill of Materials (jktgpmph) to ensure accuracy.</w:t>
      </w:r>
    </w:p>
    <w:p>
      <w:pPr>
        <w:numPr>
          <w:ilvl w:val="0"/>
          <w:numId w:val="1006"/>
        </w:numPr>
        <w:pStyle w:val="Compact"/>
      </w:pPr>
      <w:r>
        <w:t xml:space="preserve">Aluminum Casing: 3.50 kg CO2e</w:t>
      </w:r>
    </w:p>
    <w:p>
      <w:pPr>
        <w:numPr>
          <w:ilvl w:val="0"/>
          <w:numId w:val="1006"/>
        </w:numPr>
        <w:pStyle w:val="Compact"/>
      </w:pPr>
      <w:r>
        <w:t xml:space="preserve">ABS Plastic Enclosure: 0.75 kg CO2e</w:t>
      </w:r>
    </w:p>
    <w:p>
      <w:pPr>
        <w:numPr>
          <w:ilvl w:val="0"/>
          <w:numId w:val="1006"/>
        </w:numPr>
        <w:pStyle w:val="Compact"/>
      </w:pPr>
      <w:r>
        <w:t xml:space="preserve">Copper Wire: 0.30 kg CO2e</w:t>
      </w:r>
    </w:p>
    <w:p>
      <w:pPr>
        <w:numPr>
          <w:ilvl w:val="0"/>
          <w:numId w:val="1006"/>
        </w:numPr>
        <w:pStyle w:val="Compact"/>
      </w:pPr>
      <w:r>
        <w:t xml:space="preserve">Printed Circuit Board: 0.50 kg CO2e</w:t>
      </w:r>
    </w:p>
    <w:p>
      <w:pPr>
        <w:numPr>
          <w:ilvl w:val="0"/>
          <w:numId w:val="1006"/>
        </w:numPr>
        <w:pStyle w:val="Compact"/>
      </w:pPr>
      <w:r>
        <w:t xml:space="preserve">Lithium-ion Battery: 3.00 kg CO2e</w:t>
      </w:r>
    </w:p>
    <w:p>
      <w:pPr>
        <w:numPr>
          <w:ilvl w:val="0"/>
          <w:numId w:val="1006"/>
        </w:numPr>
        <w:pStyle w:val="Compact"/>
      </w:pPr>
      <w:r>
        <w:t xml:space="preserve">Packaging Cardboard: 0.15 kg CO2e</w:t>
      </w:r>
    </w:p>
    <w:p>
      <w:pPr>
        <w:numPr>
          <w:ilvl w:val="0"/>
          <w:numId w:val="1006"/>
        </w:numPr>
        <w:pStyle w:val="Compact"/>
      </w:pPr>
      <w:r>
        <w:t xml:space="preserve">Screws (Steel): 0.04 kg CO2e</w:t>
      </w:r>
    </w:p>
    <w:p>
      <w:pPr>
        <w:numPr>
          <w:ilvl w:val="0"/>
          <w:numId w:val="1006"/>
        </w:numPr>
        <w:pStyle w:val="Compact"/>
      </w:pPr>
      <w:r>
        <w:rPr>
          <w:bCs/>
          <w:b/>
        </w:rPr>
        <w:t xml:space="preserve">Total Upstream Material Emissions: 8.24 kg CO2e</w:t>
      </w:r>
    </w:p>
    <w:bookmarkEnd w:id="34"/>
    <w:bookmarkStart w:id="35"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from suppliers (Europe Focused) to the manufacturing facility (China).</w:t>
      </w:r>
    </w:p>
    <w:p>
      <w:pPr>
        <w:numPr>
          <w:ilvl w:val="0"/>
          <w:numId w:val="1007"/>
        </w:numPr>
        <w:pStyle w:val="Compact"/>
      </w:pPr>
      <w:r>
        <w:t xml:space="preserve">Assumed Transport Mode: Road Freight (Heavy Truck) [cite: Select Mode]</w:t>
      </w:r>
    </w:p>
    <w:p>
      <w:pPr>
        <w:numPr>
          <w:ilvl w:val="0"/>
          <w:numId w:val="1007"/>
        </w:numPr>
        <w:pStyle w:val="Compact"/>
      </w:pPr>
      <w:r>
        <w:t xml:space="preserve">Assumed Transport Distance: 2000 km [cite: jnsdglleoh]</w:t>
      </w:r>
    </w:p>
    <w:p>
      <w:pPr>
        <w:numPr>
          <w:ilvl w:val="0"/>
          <w:numId w:val="1007"/>
        </w:numPr>
        <w:pStyle w:val="Compact"/>
      </w:pPr>
      <w:r>
        <w:t xml:space="preserve">Assumed Product Weight (for transport allocation): 1.32 kg (sum of BOM quantities)</w:t>
      </w:r>
    </w:p>
    <w:p>
      <w:pPr>
        <w:numPr>
          <w:ilvl w:val="0"/>
          <w:numId w:val="1007"/>
        </w:numPr>
        <w:pStyle w:val="Compact"/>
      </w:pPr>
      <w:r>
        <w:t xml:space="preserve">Road Freight Emission Factor: 0.15 kg CO2e/tkm</w:t>
      </w:r>
    </w:p>
    <w:p>
      <w:pPr>
        <w:numPr>
          <w:ilvl w:val="0"/>
          <w:numId w:val="1007"/>
        </w:numPr>
        <w:pStyle w:val="Compact"/>
      </w:pPr>
      <w:r>
        <w:rPr>
          <w:bCs/>
          <w:b/>
        </w:rPr>
        <w:t xml:space="preserve">Upstream Transport Emissions:</w:t>
      </w:r>
      <w:r>
        <w:t xml:space="preserve"> </w:t>
      </w:r>
      <w:r>
        <w:t xml:space="preserve">1.32 kg * (1 tonne / 1000 kg) * 2000 km * 0.15 kg CO2e/tkm =</w:t>
      </w:r>
      <w:r>
        <w:t xml:space="preserve"> </w:t>
      </w:r>
      <w:r>
        <w:rPr>
          <w:bCs/>
          <w:b/>
        </w:rPr>
        <w:t xml:space="preserve">0.396 kg CO2e</w:t>
      </w:r>
    </w:p>
    <w:bookmarkEnd w:id="35"/>
    <w:bookmarkStart w:id="36"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to the end-consumer, including last-mile delivery.</w:t>
      </w:r>
    </w:p>
    <w:p>
      <w:pPr>
        <w:numPr>
          <w:ilvl w:val="0"/>
          <w:numId w:val="1008"/>
        </w:numPr>
        <w:pStyle w:val="Compact"/>
      </w:pPr>
      <w:r>
        <w:t xml:space="preserve">Assumed Last-Mile Delivery Channel: Local Van Delivery [cite: Delivery Type]</w:t>
      </w:r>
    </w:p>
    <w:p>
      <w:pPr>
        <w:numPr>
          <w:ilvl w:val="0"/>
          <w:numId w:val="1008"/>
        </w:numPr>
        <w:pStyle w:val="Compact"/>
      </w:pPr>
      <w:r>
        <w:t xml:space="preserve">Assumed Last-Mile Distance: 100 km (illustrative)</w:t>
      </w:r>
    </w:p>
    <w:p>
      <w:pPr>
        <w:numPr>
          <w:ilvl w:val="0"/>
          <w:numId w:val="1008"/>
        </w:numPr>
        <w:pStyle w:val="Compact"/>
      </w:pPr>
      <w:r>
        <w:t xml:space="preserve">Local Van Delivery Emission Factor: 0.2 kg CO2e/tkm (illustrative, based on general industry factors)</w:t>
      </w:r>
    </w:p>
    <w:p>
      <w:pPr>
        <w:numPr>
          <w:ilvl w:val="0"/>
          <w:numId w:val="1008"/>
        </w:numPr>
        <w:pStyle w:val="Compact"/>
      </w:pPr>
      <w:r>
        <w:rPr>
          <w:bCs/>
          <w:b/>
        </w:rPr>
        <w:t xml:space="preserve">Downstream Transport Emissions:</w:t>
      </w:r>
      <w:r>
        <w:t xml:space="preserve"> </w:t>
      </w:r>
      <w:r>
        <w:t xml:space="preserve">1.32 kg * (1 tonne / 1000 kg) * 100 km * 0.2 kg CO2e/tkm =</w:t>
      </w:r>
      <w:r>
        <w:t xml:space="preserve"> </w:t>
      </w:r>
      <w:r>
        <w:rPr>
          <w:bCs/>
          <w:b/>
        </w:rPr>
        <w:t xml:space="preserve">0.0264 kg CO2e</w:t>
      </w:r>
    </w:p>
    <w:p>
      <w:pPr>
        <w:pStyle w:val="FirstParagraph"/>
      </w:pPr>
      <w:r>
        <w:rPr>
          <w:bCs/>
          <w:b/>
        </w:rPr>
        <w:t xml:space="preserve">Total Transport Emissions (Categories 4 &amp; 9): 0.396 kg + 0.0264 kg = 0.4224 kg CO2e</w:t>
      </w:r>
    </w:p>
    <w:bookmarkEnd w:id="36"/>
    <w:bookmarkStart w:id="37" w:name="category-11-use-of-sold-products"/>
    <w:p>
      <w:pPr>
        <w:pStyle w:val="Heading4"/>
      </w:pPr>
      <w:r>
        <w:t xml:space="preserve">4.3.4. Category 11: Use of Sold Products</w:t>
      </w:r>
    </w:p>
    <w:p>
      <w:pPr>
        <w:pStyle w:val="FirstParagraph"/>
      </w:pPr>
      <w:r>
        <w:t xml:space="preserve">Emissions generated during the product\'s lifespan due to energy consumption by the end-user.</w:t>
      </w:r>
    </w:p>
    <w:p>
      <w:pPr>
        <w:numPr>
          <w:ilvl w:val="0"/>
          <w:numId w:val="1009"/>
        </w:numPr>
        <w:pStyle w:val="Compact"/>
      </w:pPr>
      <w:r>
        <w:t xml:space="preserve">Product Lifespan: 5 years [cite: mmlykvqmqn]</w:t>
      </w:r>
    </w:p>
    <w:p>
      <w:pPr>
        <w:numPr>
          <w:ilvl w:val="0"/>
          <w:numId w:val="1009"/>
        </w:numPr>
        <w:pStyle w:val="Compact"/>
      </w:pPr>
      <w:r>
        <w:t xml:space="preserve">Energy Consumption in Use: 5 kWh/year [cite: wrznymggfy]</w:t>
      </w:r>
    </w:p>
    <w:p>
      <w:pPr>
        <w:numPr>
          <w:ilvl w:val="0"/>
          <w:numId w:val="1009"/>
        </w:numPr>
        <w:pStyle w:val="Compact"/>
      </w:pPr>
      <w:r>
        <w:t xml:space="preserve">Total Energy in Use: 5 kWh/year * 5 years = 25 kWh</w:t>
      </w:r>
    </w:p>
    <w:p>
      <w:pPr>
        <w:numPr>
          <w:ilvl w:val="0"/>
          <w:numId w:val="1009"/>
        </w:numPr>
        <w:pStyle w:val="Compact"/>
      </w:pPr>
      <w:r>
        <w:t xml:space="preserve">Assumed Electricity Grid Emission Factor (China): 0.6205 kg CO2e/kWh</w:t>
      </w:r>
    </w:p>
    <w:p>
      <w:pPr>
        <w:numPr>
          <w:ilvl w:val="0"/>
          <w:numId w:val="1009"/>
        </w:numPr>
        <w:pStyle w:val="Compact"/>
      </w:pPr>
      <w:r>
        <w:rPr>
          <w:bCs/>
          <w:b/>
        </w:rPr>
        <w:t xml:space="preserve">Use Phase Emissions:</w:t>
      </w:r>
      <w:r>
        <w:t xml:space="preserve"> </w:t>
      </w:r>
      <w:r>
        <w:t xml:space="preserve">25 kWh * 0.6205 kg CO2e/kWh =</w:t>
      </w:r>
      <w:r>
        <w:t xml:space="preserve"> </w:t>
      </w:r>
      <w:r>
        <w:rPr>
          <w:bCs/>
          <w:b/>
        </w:rPr>
        <w:t xml:space="preserve">15.5125 kg CO2e</w:t>
      </w:r>
    </w:p>
    <w:bookmarkEnd w:id="37"/>
    <w:bookmarkStart w:id="38" w:name="X9f66eef2700632e081dfe139021cb724ffcd2c5"/>
    <w:p>
      <w:pPr>
        <w:pStyle w:val="Heading4"/>
      </w:pPr>
      <w:r>
        <w:t xml:space="preserve">4.3.5. Category 12: End-of-Life Treatment of Sold Products</w:t>
      </w:r>
    </w:p>
    <w:p>
      <w:pPr>
        <w:pStyle w:val="FirstParagraph"/>
      </w:pPr>
      <w:r>
        <w:t xml:space="preserve">Emissions or avoided emissions (credits) associated with the end-of-life management of the product, reflecting circular economy impacts.</w:t>
      </w:r>
    </w:p>
    <w:p>
      <w:pPr>
        <w:numPr>
          <w:ilvl w:val="0"/>
          <w:numId w:val="1010"/>
        </w:numPr>
        <w:pStyle w:val="Compact"/>
      </w:pPr>
      <w:r>
        <w:t xml:space="preserve">Recyclability Percentage: 70% (pltgsktxvt) for applicable materials.</w:t>
      </w:r>
    </w:p>
    <w:p>
      <w:pPr>
        <w:numPr>
          <w:ilvl w:val="0"/>
          <w:numId w:val="1010"/>
        </w:numPr>
        <w:pStyle w:val="Compact"/>
      </w:pPr>
      <w:r>
        <w:t xml:space="preserve">Circular/Take-back Programs: Yes, established consumer take-back program (jmhiiemivm). This program is assumed to effectively handle specialized components like the Lithium-ion battery and Printed Circuit Board, aiming for high recovery rates and thus minimizing their disposal impact. For calculation, we focus on the general recyclability percentage for the main material categories.</w:t>
      </w:r>
    </w:p>
    <w:p>
      <w:pPr>
        <w:numPr>
          <w:ilvl w:val="0"/>
          <w:numId w:val="1010"/>
        </w:numPr>
        <w:pStyle w:val="Compact"/>
      </w:pPr>
      <w:r>
        <w:t xml:space="preserve">Total weight of key recyclable materials (Aluminum, Plastic, Copper, Cardboard, Steel) = 0.97 kg.</w:t>
      </w:r>
    </w:p>
    <w:p>
      <w:pPr>
        <w:numPr>
          <w:ilvl w:val="0"/>
          <w:numId w:val="1010"/>
        </w:numPr>
        <w:pStyle w:val="Compact"/>
      </w:pPr>
      <w:r>
        <w:t xml:space="preserve">Recycled amount of these materials = 0.97 kg * 0.70 = 0.679 kg.</w:t>
      </w:r>
    </w:p>
    <w:p>
      <w:pPr>
        <w:numPr>
          <w:ilvl w:val="0"/>
          <w:numId w:val="1010"/>
        </w:numPr>
        <w:pStyle w:val="Compact"/>
      </w:pPr>
      <w:r>
        <w:t xml:space="preserve">Disposed amount of these materials = 0.97 kg * 0.30 = 0.291 kg.</w:t>
      </w:r>
    </w:p>
    <w:p>
      <w:pPr>
        <w:pStyle w:val="FirstParagraph"/>
      </w:pPr>
      <w:r>
        <w:rPr>
          <w:bCs/>
          <w:b/>
        </w:rPr>
        <w:t xml:space="preserve">Avoided Emissions from Recycling:</w:t>
      </w:r>
    </w:p>
    <w:p>
      <w:pPr>
        <w:numPr>
          <w:ilvl w:val="0"/>
          <w:numId w:val="1011"/>
        </w:numPr>
        <w:pStyle w:val="Compact"/>
      </w:pPr>
      <w:r>
        <w:t xml:space="preserve">Aluminum (0.5 kg * 0.70): 0.35 kg * 8.14 kg CO2e/kg = 2.849 kg CO2e</w:t>
      </w:r>
    </w:p>
    <w:p>
      <w:pPr>
        <w:numPr>
          <w:ilvl w:val="0"/>
          <w:numId w:val="1011"/>
        </w:numPr>
        <w:pStyle w:val="Compact"/>
      </w:pPr>
      <w:r>
        <w:t xml:space="preserve">ABS Plastic (0.3 kg * 0.70): 0.21 kg * 1.08 kg CO2e/kg = 0.2268 kg CO2e</w:t>
      </w:r>
    </w:p>
    <w:p>
      <w:pPr>
        <w:numPr>
          <w:ilvl w:val="0"/>
          <w:numId w:val="1011"/>
        </w:numPr>
        <w:pStyle w:val="Compact"/>
      </w:pPr>
      <w:r>
        <w:t xml:space="preserve">Copper (0.1 kg * 0.70): 0.07 kg * 8.14 kg CO2e/kg = 0.5698 kg CO2e</w:t>
      </w:r>
    </w:p>
    <w:p>
      <w:pPr>
        <w:numPr>
          <w:ilvl w:val="0"/>
          <w:numId w:val="1011"/>
        </w:numPr>
        <w:pStyle w:val="Compact"/>
      </w:pPr>
      <w:r>
        <w:t xml:space="preserve">Packaging Cardboard (0.15 kg * 0.70): 0.105 kg * 0.46 kg CO2e/kg = 0.0483 kg CO2e</w:t>
      </w:r>
    </w:p>
    <w:p>
      <w:pPr>
        <w:numPr>
          <w:ilvl w:val="0"/>
          <w:numId w:val="1011"/>
        </w:numPr>
        <w:pStyle w:val="Compact"/>
      </w:pPr>
      <w:r>
        <w:t xml:space="preserve">Screws (Steel) (0.02 kg * 0.70): 0.014 kg * 8.14 kg CO2e/kg = 0.114 kg CO2e</w:t>
      </w:r>
    </w:p>
    <w:p>
      <w:pPr>
        <w:numPr>
          <w:ilvl w:val="0"/>
          <w:numId w:val="1011"/>
        </w:numPr>
        <w:pStyle w:val="Compact"/>
      </w:pPr>
      <w:r>
        <w:rPr>
          <w:bCs/>
          <w:b/>
        </w:rPr>
        <w:t xml:space="preserve">Total Avoided Emissions (Credit): -3.8079 kg CO2e</w:t>
      </w:r>
    </w:p>
    <w:p>
      <w:pPr>
        <w:pStyle w:val="FirstParagraph"/>
      </w:pPr>
      <w:r>
        <w:rPr>
          <w:bCs/>
          <w:b/>
        </w:rPr>
        <w:t xml:space="preserve">Emissions from Disposal:</w:t>
      </w:r>
    </w:p>
    <w:p>
      <w:pPr>
        <w:numPr>
          <w:ilvl w:val="0"/>
          <w:numId w:val="1012"/>
        </w:numPr>
        <w:pStyle w:val="Compact"/>
      </w:pPr>
      <w:r>
        <w:t xml:space="preserve">Disposed Material Weight: 0.291 kg</w:t>
      </w:r>
    </w:p>
    <w:p>
      <w:pPr>
        <w:numPr>
          <w:ilvl w:val="0"/>
          <w:numId w:val="1012"/>
        </w:numPr>
        <w:pStyle w:val="Compact"/>
      </w:pPr>
      <w:r>
        <w:t xml:space="preserve">Assumed Blended Disposal Emission Factor: 0.1 kg CO2e/kg (illustrative for mixed waste)</w:t>
      </w:r>
    </w:p>
    <w:p>
      <w:pPr>
        <w:numPr>
          <w:ilvl w:val="0"/>
          <w:numId w:val="1012"/>
        </w:numPr>
        <w:pStyle w:val="Compact"/>
      </w:pPr>
      <w:r>
        <w:rPr>
          <w:bCs/>
          <w:b/>
        </w:rPr>
        <w:t xml:space="preserve">Disposal Emissions:</w:t>
      </w:r>
      <w:r>
        <w:t xml:space="preserve"> </w:t>
      </w:r>
      <w:r>
        <w:t xml:space="preserve">0.291 kg * 0.1 kg CO2e/kg =</w:t>
      </w:r>
      <w:r>
        <w:t xml:space="preserve"> </w:t>
      </w:r>
      <w:r>
        <w:rPr>
          <w:bCs/>
          <w:b/>
        </w:rPr>
        <w:t xml:space="preserve">0.0291 kg CO2e</w:t>
      </w:r>
    </w:p>
    <w:p>
      <w:pPr>
        <w:pStyle w:val="FirstParagraph"/>
      </w:pPr>
      <w:r>
        <w:rPr>
          <w:bCs/>
          <w:b/>
        </w:rPr>
        <w:t xml:space="preserve">Net End-of-Life Impact:</w:t>
      </w:r>
      <w:r>
        <w:t xml:space="preserve"> </w:t>
      </w:r>
      <w:r>
        <w:t xml:space="preserve">0.0291 kg CO2e - 3.8079 kg CO2e =</w:t>
      </w:r>
      <w:r>
        <w:t xml:space="preserve"> </w:t>
      </w:r>
      <w:r>
        <w:rPr>
          <w:bCs/>
          <w:b/>
        </w:rPr>
        <w:t xml:space="preserve">-3.7788 kg CO2e (a net credit)</w:t>
      </w:r>
    </w:p>
    <w:p>
      <w:pPr>
        <w:pStyle w:val="BodyText"/>
      </w:pPr>
      <w:r>
        <w:t xml:space="preserve">The established consumer take-back program for components like the Lithium-ion Battery and Printed Circuit Board is assumed to facilitate specialized recycling processes that further reduce environmental impact, although specific avoided emission factors for these complex items are not explicitly quantified in this general EoL calculation.</w:t>
      </w:r>
    </w:p>
    <w:bookmarkEnd w:id="38"/>
    <w:bookmarkEnd w:id="39"/>
    <w:bookmarkEnd w:id="40"/>
    <w:p>
      <w:r>
        <w:pict>
          <v:rect style="width:0;height:1.5pt" o:hralign="center" o:hrstd="t" o:hr="t"/>
        </w:pict>
      </w:r>
    </w:p>
    <w:bookmarkStart w:id="43" w:name="pcf-summary-and-hotspots"/>
    <w:p>
      <w:pPr>
        <w:pStyle w:val="Heading2"/>
      </w:pPr>
      <w:r>
        <w:t xml:space="preserve">5. PCF Summary and Hotspots</w:t>
      </w:r>
    </w:p>
    <w:p>
      <w:pPr>
        <w:pStyle w:val="FirstParagraph"/>
      </w:pPr>
      <w:r>
        <w:t xml:space="preserve">The total Product Carbon Footprint for one functional unit of psimxlrnps 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8.2400</w:t>
            </w:r>
          </w:p>
        </w:tc>
        <w:tc>
          <w:tcPr/>
          <w:p>
            <w:pPr>
              <w:pStyle w:val="Compact"/>
              <w:jc w:val="left"/>
            </w:pPr>
            <w:r>
              <w:t xml:space="preserve">34.16%</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3.7230</w:t>
            </w:r>
          </w:p>
        </w:tc>
        <w:tc>
          <w:tcPr/>
          <w:p>
            <w:pPr>
              <w:pStyle w:val="Compact"/>
              <w:jc w:val="left"/>
            </w:pPr>
            <w:r>
              <w:t xml:space="preserve">15.44%</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0.3960</w:t>
            </w:r>
          </w:p>
        </w:tc>
        <w:tc>
          <w:tcPr/>
          <w:p>
            <w:pPr>
              <w:pStyle w:val="Compact"/>
              <w:jc w:val="left"/>
            </w:pPr>
            <w:r>
              <w:t xml:space="preserve">1.64%</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0.0264</w:t>
            </w:r>
          </w:p>
        </w:tc>
        <w:tc>
          <w:tcPr/>
          <w:p>
            <w:pPr>
              <w:pStyle w:val="Compact"/>
              <w:jc w:val="left"/>
            </w:pPr>
            <w:r>
              <w:t xml:space="preserve">0.11%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15.5125</w:t>
            </w:r>
          </w:p>
        </w:tc>
        <w:tc>
          <w:tcPr/>
          <w:p>
            <w:pPr>
              <w:pStyle w:val="Compact"/>
              <w:jc w:val="left"/>
            </w:pPr>
            <w:r>
              <w:t xml:space="preserve">64.32%</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-3.7788</w:t>
            </w:r>
          </w:p>
        </w:tc>
        <w:tc>
          <w:tcPr/>
          <w:p>
            <w:pPr>
              <w:pStyle w:val="Compact"/>
              <w:jc w:val="left"/>
            </w:pPr>
            <w:r>
              <w:t xml:space="preserve">-15.67%</w:t>
            </w:r>
          </w:p>
        </w:tc>
      </w:tr>
      <w:tr>
        <w:tc>
          <w:tcPr>
            <w:gridSpan w:val="2"/>
          </w:tcPr>
          <w:p>
            <w:pPr>
              <w:pStyle w:val="Compact"/>
              <w:jc w:val="left"/>
            </w:pPr>
            <w:r>
              <w:t xml:space="preserve">Total Product Carbon Footprint</w:t>
            </w:r>
          </w:p>
        </w:tc>
        <w:tc>
          <w:tcPr/>
          <w:p>
            <w:pPr>
              <w:pStyle w:val="Compact"/>
              <w:jc w:val="left"/>
            </w:pPr>
            <w:r>
              <w:t xml:space="preserve">24.1191</w:t>
            </w:r>
          </w:p>
        </w:tc>
        <w:tc>
          <w:tcPr/>
          <w:p>
            <w:pPr>
              <w:pStyle w:val="Compact"/>
              <w:jc w:val="left"/>
            </w:pPr>
            <w:r>
              <w:t xml:space="preserve">100.00%</w:t>
            </w:r>
          </w:p>
        </w:tc>
      </w:tr>
    </w:tbl>
    <w:bookmarkStart w:id="41" w:name="emission-hotspots"/>
    <w:p>
      <w:pPr>
        <w:pStyle w:val="Heading3"/>
      </w:pPr>
      <w:r>
        <w:t xml:space="preserve">5.1. Emission Hotspots</w:t>
      </w:r>
    </w:p>
    <w:p>
      <w:pPr>
        <w:pStyle w:val="FirstParagraph"/>
      </w:pPr>
      <w:r>
        <w:t xml:space="preserve">Based on the analysis, the primary emission hotspots for psimxlrnps are:</w:t>
      </w:r>
    </w:p>
    <w:p>
      <w:pPr>
        <w:numPr>
          <w:ilvl w:val="0"/>
          <w:numId w:val="1013"/>
        </w:numPr>
        <w:pStyle w:val="Compact"/>
      </w:pPr>
      <w:r>
        <w:rPr>
          <w:bCs/>
          <w:b/>
        </w:rPr>
        <w:t xml:space="preserve">Use Phase (64.32%):</w:t>
      </w:r>
      <w:r>
        <w:t xml:space="preserve"> </w:t>
      </w:r>
      <w:r>
        <w:t xml:space="preserve">The energy consumption during the product\'s 5-year lifespan is the most significant contributor to its carbon footprint.</w:t>
      </w:r>
    </w:p>
    <w:p>
      <w:pPr>
        <w:numPr>
          <w:ilvl w:val="0"/>
          <w:numId w:val="1013"/>
        </w:numPr>
        <w:pStyle w:val="Compact"/>
      </w:pPr>
      <w:r>
        <w:rPr>
          <w:bCs/>
          <w:b/>
        </w:rPr>
        <w:t xml:space="preserve">Material Acquisition &amp; Pre-processing (34.16%):</w:t>
      </w:r>
      <w:r>
        <w:t xml:space="preserve"> </w:t>
      </w:r>
      <w:r>
        <w:t xml:space="preserve">The production of components, particularly the Lithium-ion Battery and Aluminum Casing, carries a substantial embodied carbon footprint.</w:t>
      </w:r>
    </w:p>
    <w:p>
      <w:pPr>
        <w:numPr>
          <w:ilvl w:val="0"/>
          <w:numId w:val="1013"/>
        </w:numPr>
        <w:pStyle w:val="Compact"/>
      </w:pPr>
      <w:r>
        <w:rPr>
          <w:bCs/>
          <w:b/>
        </w:rPr>
        <w:t xml:space="preserve">Production Phase (15.44%):</w:t>
      </w:r>
      <w:r>
        <w:t xml:space="preserve"> </w:t>
      </w:r>
      <w:r>
        <w:t xml:space="preserve">Energy consumed during manufacturing, despite 40% renewable energy usage, remains a notable contributor.</w:t>
      </w:r>
    </w:p>
    <w:bookmarkEnd w:id="41"/>
    <w:bookmarkStart w:id="42" w:name="reliability"/>
    <w:p>
      <w:pPr>
        <w:pStyle w:val="Heading3"/>
      </w:pPr>
      <w:r>
        <w:t xml:space="preserve">5.2. Reliability</w:t>
      </w:r>
    </w:p>
    <w:p>
      <w:pPr>
        <w:pStyle w:val="FirstParagraph"/>
      </w:pPr>
      <w:r>
        <w:t xml:space="preserve">The reliability of this PCF analysis is high due to the utilization of specific primary data for Bill of Materials, energy usage, and end-of-life scenarios. Industry-standard emission factors from recognized databases (e.g., IEA, MEE, GLEC) enhance the accuracy of secondary data. The adherence to GHG Protocol standards and the comprehensive Scope 3 coverage (aiming for &gt;95%) ensures a robust and defensible assessment.</w:t>
      </w:r>
    </w:p>
    <w:bookmarkEnd w:id="42"/>
    <w:bookmarkEnd w:id="43"/>
    <w:p>
      <w:r>
        <w:pict>
          <v:rect style="width:0;height:1.5pt" o:hralign="center" o:hrstd="t" o:hr="t"/>
        </w:pict>
      </w:r>
    </w:p>
    <w:bookmarkStart w:id="44" w:name="recommendations-for-carbon-reduction"/>
    <w:p>
      <w:pPr>
        <w:pStyle w:val="Heading2"/>
      </w:pPr>
      <w:r>
        <w:t xml:space="preserve">6. Recommendations for Carbon Reduction</w:t>
      </w:r>
    </w:p>
    <w:p>
      <w:pPr>
        <w:pStyle w:val="FirstParagraph"/>
      </w:pPr>
      <w:r>
        <w:t xml:space="preserve">To further reduce the carbon footprint of psimxlrnps, voufygkoel should consider the following strategies:</w:t>
      </w:r>
    </w:p>
    <w:p>
      <w:pPr>
        <w:numPr>
          <w:ilvl w:val="0"/>
          <w:numId w:val="1014"/>
        </w:numPr>
        <w:pStyle w:val="Compact"/>
      </w:pPr>
      <w:r>
        <w:rPr>
          <w:bCs/>
          <w:b/>
        </w:rPr>
        <w:t xml:space="preserve">Optimize Use Phase Efficiency:</w:t>
      </w:r>
    </w:p>
    <w:p>
      <w:pPr>
        <w:numPr>
          <w:ilvl w:val="1"/>
          <w:numId w:val="1015"/>
        </w:numPr>
        <w:pStyle w:val="Compact"/>
      </w:pPr>
      <w:r>
        <w:t xml:space="preserve">Explore options for reducing the product\'s energy consumption during its use phase, such as developing more energy-efficient components or providing guidance to users on optimized usage.</w:t>
      </w:r>
    </w:p>
    <w:p>
      <w:pPr>
        <w:numPr>
          <w:ilvl w:val="1"/>
          <w:numId w:val="1015"/>
        </w:numPr>
        <w:pStyle w:val="Compact"/>
      </w:pPr>
      <w:r>
        <w:t xml:space="preserve">Investigate the potential for integrating renewable energy solutions at the consumer level or advocating for green energy procurement options for end-users.</w:t>
      </w:r>
    </w:p>
    <w:p>
      <w:pPr>
        <w:numPr>
          <w:ilvl w:val="0"/>
          <w:numId w:val="1014"/>
        </w:numPr>
        <w:pStyle w:val="Compact"/>
      </w:pPr>
      <w:r>
        <w:rPr>
          <w:bCs/>
          <w:b/>
        </w:rPr>
        <w:t xml:space="preserve">Enhance Material Footprint:</w:t>
      </w:r>
    </w:p>
    <w:p>
      <w:pPr>
        <w:numPr>
          <w:ilvl w:val="1"/>
          <w:numId w:val="1016"/>
        </w:numPr>
        <w:pStyle w:val="Compact"/>
      </w:pPr>
      <w:r>
        <w:t xml:space="preserve">Investigate opportunities to source lower-carbon intensity materials, such as recycled aluminum, or components manufactured with higher renewable energy mixes.</w:t>
      </w:r>
    </w:p>
    <w:p>
      <w:pPr>
        <w:numPr>
          <w:ilvl w:val="1"/>
          <w:numId w:val="1016"/>
        </w:numPr>
        <w:pStyle w:val="Compact"/>
      </w:pPr>
      <w:r>
        <w:t xml:space="preserve">Collaborate with suppliers to explore innovative materials with inherently lower embodied carbon.</w:t>
      </w:r>
    </w:p>
    <w:p>
      <w:pPr>
        <w:numPr>
          <w:ilvl w:val="0"/>
          <w:numId w:val="1014"/>
        </w:numPr>
        <w:pStyle w:val="Compact"/>
      </w:pPr>
      <w:r>
        <w:rPr>
          <w:bCs/>
          <w:b/>
        </w:rPr>
        <w:t xml:space="preserve">Increase Renewable Energy in Production:</w:t>
      </w:r>
    </w:p>
    <w:p>
      <w:pPr>
        <w:numPr>
          <w:ilvl w:val="1"/>
          <w:numId w:val="1017"/>
        </w:numPr>
        <w:pStyle w:val="Compact"/>
      </w:pPr>
      <w:r>
        <w:t xml:space="preserve">Further increase the percentage of renewable energy used in the manufacturing facility in China beyond the current 40% to directly reduce Scope 2 emissions. This could involve direct procurement of renewable energy or investment in on-site renewable generation.</w:t>
      </w:r>
    </w:p>
    <w:p>
      <w:pPr>
        <w:numPr>
          <w:ilvl w:val="0"/>
          <w:numId w:val="1014"/>
        </w:numPr>
        <w:pStyle w:val="Compact"/>
      </w:pPr>
      <w:r>
        <w:rPr>
          <w:bCs/>
          <w:b/>
        </w:rPr>
        <w:t xml:space="preserve">Strengthen Circularity:</w:t>
      </w:r>
    </w:p>
    <w:p>
      <w:pPr>
        <w:numPr>
          <w:ilvl w:val="1"/>
          <w:numId w:val="1018"/>
        </w:numPr>
        <w:pStyle w:val="Compact"/>
      </w:pPr>
      <w:r>
        <w:t xml:space="preserve">Continue to promote and expand the established consumer take-back program, ensuring maximum collection and efficient processing of end-of-life products, especially high-impact components like batteries and PCBs.</w:t>
      </w:r>
    </w:p>
    <w:p>
      <w:pPr>
        <w:numPr>
          <w:ilvl w:val="1"/>
          <w:numId w:val="1018"/>
        </w:numPr>
        <w:pStyle w:val="Compact"/>
      </w:pPr>
      <w:r>
        <w:t xml:space="preserve">Explore design for disassembly and repairability to extend product lifespan and facilitate easier material recovery.</w:t>
      </w:r>
    </w:p>
    <w:p>
      <w:pPr>
        <w:numPr>
          <w:ilvl w:val="0"/>
          <w:numId w:val="1014"/>
        </w:numPr>
        <w:pStyle w:val="Compact"/>
      </w:pPr>
      <w:r>
        <w:rPr>
          <w:bCs/>
          <w:b/>
        </w:rPr>
        <w:t xml:space="preserve">Supply Chain Engagement:</w:t>
      </w:r>
    </w:p>
    <w:p>
      <w:pPr>
        <w:numPr>
          <w:ilvl w:val="1"/>
          <w:numId w:val="1019"/>
        </w:numPr>
        <w:pStyle w:val="Compact"/>
      </w:pPr>
      <w:r>
        <w:t xml:space="preserve">Engage with upstream transportation providers to encourage the use of lower-emission freight options and optimize logistics routes for reduced distance and improved load efficiency.</w:t>
      </w:r>
    </w:p>
    <w:bookmarkEnd w:id="44"/>
    <w:p>
      <w:r>
        <w:pict>
          <v:rect style="width:0;height:1.5pt" o:hralign="center" o:hrstd="t" o:hr="t"/>
        </w:pict>
      </w:r>
    </w:p>
    <w:bookmarkStart w:id="45" w:name="conclusion"/>
    <w:p>
      <w:pPr>
        <w:pStyle w:val="Heading2"/>
      </w:pPr>
      <w:r>
        <w:t xml:space="preserve">7. Conclusion</w:t>
      </w:r>
    </w:p>
    <w:p>
      <w:pPr>
        <w:pStyle w:val="FirstParagraph"/>
      </w:pPr>
      <w:r>
        <w:t xml:space="preserve">This detailed Product Carbon Footprint analysis provides voufygkoel with a clear understanding of the environmental impact of psimxlrnps throughout its lifecycle. With a total footprint of 24.12 kg CO2e per unit, the report identifies the use phase and material acquisition as primary areas for intervention. By implementing the recommended strategies, voufygkoel can systematically reduce the carbon footprint of psimxlrnps and demonstrate its commitment to sustainability in alignment with GHG Protocol standards and evolving climate goals.</w:t>
      </w:r>
    </w:p>
    <w:bookmarkEnd w:id="45"/>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psimxlrnps</dc:title>
  <dc:creator/>
  <dc:description>Detailed Product Carbon Footprint (PCF) analysis for psimxlrnps by voufygkoel, adhering to GHG Protocol standards and 2026 LSR Update, performed by Senior Sustainability Consultant molsgfmgtv.</dc:description>
  <dc:language>en</dc:language>
  <cp:keywords/>
  <dcterms:created xsi:type="dcterms:W3CDTF">2026-07-15T13:34:01Z</dcterms:created>
  <dcterms:modified xsi:type="dcterms:W3CDTF">2026-07-15T13:34:01Z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