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prngsrgfsy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prngsrgfsy</w:t>
      </w:r>
    </w:p>
    <w:p>
      <w:pPr>
        <w:pStyle w:val="BodyText"/>
      </w:pPr>
      <w:r>
        <w:rPr>
          <w:bCs/>
          <w:b/>
        </w:rPr>
        <w:t xml:space="preserve">Company:</w:t>
      </w:r>
      <w:r>
        <w:t xml:space="preserve"> </w:t>
      </w:r>
      <w:r>
        <w:t xml:space="preserve">ylvvyhjenu</w:t>
      </w:r>
    </w:p>
    <w:p>
      <w:pPr>
        <w:pStyle w:val="BodyText"/>
      </w:pPr>
      <w:r>
        <w:rPr>
          <w:bCs/>
          <w:b/>
        </w:rPr>
        <w:t xml:space="preserve">Senior Sustainability Consultant:</w:t>
      </w:r>
      <w:r>
        <w:t xml:space="preserve"> </w:t>
      </w:r>
      <w:r>
        <w:t xml:space="preserve">fnenjpwelo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impacts may vary based on real-time operational data and specific supply chain nuances not fully captured by generalized emission factors or placeholder data.</w:t>
      </w:r>
    </w:p>
    <w:bookmarkEnd w:id="20"/>
    <w:p>
      <w:pPr>
        <w:pStyle w:val="BodyText"/>
      </w:pPr>
      <w:r>
        <w:t xml:space="preserve">Generated Date: June 1,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prngsrgfsy</w:t>
      </w:r>
      <w:r>
        <w:t xml:space="preserve">, manufactured by</w:t>
      </w:r>
      <w:r>
        <w:t xml:space="preserve"> </w:t>
      </w:r>
      <w:r>
        <w:rPr>
          <w:bCs/>
          <w:b/>
        </w:rPr>
        <w:t xml:space="preserve">ylvvyhjenu</w:t>
      </w:r>
      <w:r>
        <w:t xml:space="preserve">. The analysis was conducted by Senior Sustainability Consultant</w:t>
      </w:r>
      <w:r>
        <w:t xml:space="preserve"> </w:t>
      </w:r>
      <w:r>
        <w:rPr>
          <w:bCs/>
          <w:b/>
        </w:rPr>
        <w:t xml:space="preserve">fnenjpwelo</w:t>
      </w:r>
      <w:r>
        <w:t xml:space="preserve">, strictly adhering to the **GHG Protocol** standards, including the latest 2026 Land Sector and Removals (LSR) Standard update and the stringent 95% Scope 3 coverage requirements. The primary objective is to quantify the greenhouse gas (GHG) emissions across the product\'s entire lifecycle, from raw material acquisition to end-of-life, providing insights into emission hotspots and opportunities for reduction.</w:t>
      </w:r>
    </w:p>
    <w:p>
      <w:pPr>
        <w:pStyle w:val="BodyText"/>
      </w:pPr>
      <w:r>
        <w:t xml:space="preserve">The total estimated Product Carbon Footprint for one functional unit (1.0 unit) of prngsrgfsy is</w:t>
      </w:r>
      <w:r>
        <w:t xml:space="preserve"> </w:t>
      </w:r>
      <w:r>
        <w:rPr>
          <w:bCs/>
          <w:b/>
        </w:rPr>
        <w:t xml:space="preserve">X.XX kg CO2e</w:t>
      </w:r>
      <w:r>
        <w:t xml:space="preserve">. The most significant contributors to this footprint are identified in the Materials and Use Phase categories, highlighting areas where strategic interventions can yield the greatest impact. This analysis provides a foundational understanding for ylvvyhjenu to enhance its sustainability strategy, prioritize decarbonization efforts, and ensure compliance with evolving GHG accounting standards.</w:t>
      </w:r>
    </w:p>
    <w:p>
      <w:r>
        <w:pict>
          <v:rect style="width:0;height:1.5pt" o:hralign="center" o:hrstd="t" o:hr="t"/>
        </w:pict>
      </w:r>
    </w:p>
    <w:bookmarkEnd w:id="21"/>
    <w:bookmarkStart w:id="27" w:name="introduction-and-scope-definition"/>
    <w:p>
      <w:pPr>
        <w:pStyle w:val="Heading1"/>
      </w:pPr>
      <w:r>
        <w:t xml:space="preserve">1. Introduction and Scope Definition</w:t>
      </w:r>
    </w:p>
    <w:bookmarkStart w:id="22" w:name="product-description-and-functional-unit"/>
    <w:p>
      <w:pPr>
        <w:pStyle w:val="Heading2"/>
      </w:pPr>
      <w:r>
        <w:t xml:space="preserve">1.1 Product Description and Functional Unit</w:t>
      </w:r>
    </w:p>
    <w:p>
      <w:pPr>
        <w:pStyle w:val="FirstParagraph"/>
      </w:pPr>
      <w:r>
        <w:t xml:space="preserve">The product under analysis is</w:t>
      </w:r>
      <w:r>
        <w:t xml:space="preserve"> </w:t>
      </w:r>
      <w:r>
        <w:rPr>
          <w:bCs/>
          <w:b/>
        </w:rPr>
        <w:t xml:space="preserve">prngsrgfsy</w:t>
      </w:r>
      <w:r>
        <w:t xml:space="preserve">. The functional unit for this PCF analysis is defined as</w:t>
      </w:r>
      <w:r>
        <w:t xml:space="preserve"> </w:t>
      </w:r>
      <w:r>
        <w:rPr>
          <w:bCs/>
          <w:b/>
        </w:rPr>
        <w:t xml:space="preserve">1.0 unit</w:t>
      </w:r>
      <w:r>
        <w:t xml:space="preserve"> </w:t>
      </w:r>
      <w:r>
        <w:t xml:space="preserve">of prngsrgfsy, serving its intended purpose over its specified lifespan.</w:t>
      </w:r>
    </w:p>
    <w:bookmarkEnd w:id="22"/>
    <w:bookmarkStart w:id="23" w:name="accounting-standard"/>
    <w:p>
      <w:pPr>
        <w:pStyle w:val="Heading2"/>
      </w:pPr>
      <w:r>
        <w:t xml:space="preserve">1.2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the most widely used international accounting tool for quantifying greenhouse gas emissions. All emissions are categorized into Scope 1 (direct emissions from owned or controlled sources), Scope 2 (indirect emissions from the generation of purchased energy), and Scope 3 (all other indirect emissions that occur in a company’s value chain).</w:t>
      </w:r>
    </w:p>
    <w:bookmarkEnd w:id="23"/>
    <w:bookmarkStart w:id="24" w:name="system-boundary"/>
    <w:p>
      <w:pPr>
        <w:pStyle w:val="Heading2"/>
      </w:pPr>
      <w:r>
        <w:t xml:space="preserve">1.3 System Boundary</w:t>
      </w:r>
    </w:p>
    <w:p>
      <w:pPr>
        <w:pStyle w:val="FirstParagraph"/>
      </w:pPr>
      <w:r>
        <w:t xml:space="preserve">The system boundary for this analysis is designated as</w:t>
      </w:r>
      <w:r>
        <w:t xml:space="preserve"> </w:t>
      </w:r>
      <w:r>
        <w:rPr>
          <w:bCs/>
          <w:b/>
        </w:rPr>
        <w:t xml:space="preserve">factory_gate</w:t>
      </w:r>
      <w:r>
        <w:t xml:space="preserve">. This means that direct emissions from the manufacturing facility (Scope 1) and purchased energy for manufacturing (Scope 2) are included. Additionally, all relevant upstream (raw materials, transport to factory) and downstream (transport from factory, use phase, end-of-life) Scope 3 emissions are considered to provide a comprehensive cradle-to-grave assessment.</w:t>
      </w:r>
    </w:p>
    <w:bookmarkEnd w:id="24"/>
    <w:bookmarkStart w:id="25" w:name="geographic-scope"/>
    <w:p>
      <w:pPr>
        <w:pStyle w:val="Heading2"/>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occur in typical consumption regions, with energy factors reflecting a European average for consistency with the supply chain focus, where not explicitly specified.</w:t>
      </w:r>
    </w:p>
    <w:bookmarkEnd w:id="25"/>
    <w:bookmarkStart w:id="26" w:name="allocation"/>
    <w:p>
      <w:pPr>
        <w:pStyle w:val="Heading2"/>
      </w:pPr>
      <w:r>
        <w:t xml:space="preserve">1.5 Allocation</w:t>
      </w:r>
    </w:p>
    <w:p>
      <w:pPr>
        <w:pStyle w:val="FirstParagraph"/>
      </w:pPr>
      <w:r>
        <w:t xml:space="preserve">Given that this analysis focuses on a single product, direct allocation is applied. All emissions are directly attributed to the functional unit (1.0 unit of prngsrgfsy).</w:t>
      </w:r>
    </w:p>
    <w:p>
      <w:r>
        <w:pict>
          <v:rect style="width:0;height:1.5pt" o:hralign="center" o:hrstd="t" o:hr="t"/>
        </w:pict>
      </w:r>
    </w:p>
    <w:bookmarkEnd w:id="26"/>
    <w:bookmarkEnd w:id="27"/>
    <w:bookmarkStart w:id="35" w:name="lifecycle-mapping-and-data-collection"/>
    <w:p>
      <w:pPr>
        <w:pStyle w:val="Heading1"/>
      </w:pPr>
      <w:r>
        <w:t xml:space="preserve">2. Lifecycle Mapping and Data Collection</w:t>
      </w:r>
    </w:p>
    <w:p>
      <w:pPr>
        <w:pStyle w:val="FirstParagraph"/>
      </w:pPr>
      <w:r>
        <w:t xml:space="preserve">The lifecycle of</w:t>
      </w:r>
      <w:r>
        <w:t xml:space="preserve"> </w:t>
      </w:r>
      <w:r>
        <w:rPr>
          <w:bCs/>
          <w:b/>
        </w:rPr>
        <w:t xml:space="preserve">prngsrgfsy</w:t>
      </w:r>
      <w:r>
        <w:t xml:space="preserve"> </w:t>
      </w:r>
      <w:r>
        <w:t xml:space="preserve">is mapped across five key stages, and data is collected from both primary and secondary sources. Placeholder data provided has been used as specified, and industry-standard emission factors (e.g., from Ecoinvent/DEFRA, where specific data was not provided) are applied for calculation.</w:t>
      </w:r>
    </w:p>
    <w:bookmarkStart w:id="28" w:name="Xd553c38010ea475b8999b1888eb335cd464b364"/>
    <w:p>
      <w:pPr>
        <w:pStyle w:val="Heading2"/>
      </w:pPr>
      <w:r>
        <w:t xml:space="preserve">2.1 Material Acquisition and Production (Scope 3 - Category 1: Purchased Goods and Services)</w:t>
      </w:r>
    </w:p>
    <w:p>
      <w:pPr>
        <w:pStyle w:val="FirstParagraph"/>
      </w:pPr>
      <w:r>
        <w:t xml:space="preserve">The detailed Bill of Materials (BOM) for</w:t>
      </w:r>
      <w:r>
        <w:t xml:space="preserve"> </w:t>
      </w:r>
      <w:r>
        <w:rPr>
          <w:bCs/>
          <w:b/>
        </w:rPr>
        <w:t xml:space="preserve">prngsrgfsy</w:t>
      </w:r>
      <w:r>
        <w:t xml:space="preserve"> </w:t>
      </w:r>
      <w:r>
        <w:t xml:space="preserve">(provided as</w:t>
      </w:r>
      <w:r>
        <w:t xml:space="preserve"> </w:t>
      </w:r>
      <w:r>
        <w:rPr>
          <w:bCs/>
          <w:b/>
        </w:rPr>
        <w:t xml:space="preserve">tptkwzix</w:t>
      </w:r>
      <w:r>
        <w:t xml:space="preserve">) is used to calculate the material-related emissions. The provided BOM data includes specific emission factors and total carbon values for each component.</w:t>
      </w:r>
    </w:p>
    <w:p>
      <w:pPr>
        <w:pStyle w:val="BodyText"/>
      </w:pPr>
      <w:r>
        <w:rPr>
          <w:bCs/>
          <w:b/>
        </w:rPr>
        <w:t xml:space="preserve">Detailed Bill of Materials (BOM) for prngsrgfsy (Example Data based on tptkwzix):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bl>
    <w:p>
      <w:pPr>
        <w:pStyle w:val="BodyText"/>
      </w:pPr>
      <w:r>
        <w:rPr>
          <w:bCs/>
          <w:b/>
        </w:rPr>
        <w:t xml:space="preserve">Total Mass of Product:</w:t>
      </w:r>
      <w:r>
        <w:t xml:space="preserve"> </w:t>
      </w:r>
      <w:r>
        <w:t xml:space="preserve">0.5 kg (Aluminum) + 0.2 kg (Plastic) + 0.05 kg (Circuit Board) + 0.01 kg (Copper Wire) =</w:t>
      </w:r>
      <w:r>
        <w:t xml:space="preserve"> </w:t>
      </w:r>
      <w:r>
        <w:rPr>
          <w:bCs/>
          <w:b/>
        </w:rPr>
        <w:t xml:space="preserve">0.76 kg</w:t>
      </w:r>
      <w:r>
        <w:t xml:space="preserve">.</w:t>
      </w:r>
    </w:p>
    <w:bookmarkEnd w:id="28"/>
    <w:bookmarkStart w:id="29" w:name="Xead94ceb910ad4f969a83863400e1e13973bc52"/>
    <w:p>
      <w:pPr>
        <w:pStyle w:val="Heading2"/>
      </w:pPr>
      <w:r>
        <w:t xml:space="preserve">2.2 Manufacturing (Scope 1: Direct Emissions &amp; Scope 2: Purchased Energy)</w:t>
      </w:r>
    </w:p>
    <w:p>
      <w:pPr>
        <w:pStyle w:val="FirstParagraph"/>
      </w:pPr>
      <w:r>
        <w:t xml:space="preserve">The production phase occurs in China. Energy consumption for manufacturing is a critical input.</w:t>
      </w:r>
    </w:p>
    <w:p>
      <w:pPr>
        <w:numPr>
          <w:ilvl w:val="0"/>
          <w:numId w:val="1002"/>
        </w:numPr>
        <w:pStyle w:val="Compact"/>
      </w:pPr>
      <w:r>
        <w:rPr>
          <w:bCs/>
          <w:b/>
        </w:rPr>
        <w:t xml:space="preserve">Energy Intensity (kWh/unit):</w:t>
      </w:r>
      <w:r>
        <w:t xml:space="preserve"> </w:t>
      </w:r>
      <w:r>
        <w:t xml:space="preserve">yeqfvqdklk (e.g., 5 kWh/unit)</w:t>
      </w:r>
    </w:p>
    <w:p>
      <w:pPr>
        <w:numPr>
          <w:ilvl w:val="0"/>
          <w:numId w:val="1002"/>
        </w:numPr>
        <w:pStyle w:val="Compact"/>
      </w:pPr>
      <w:r>
        <w:rPr>
          <w:bCs/>
          <w:b/>
        </w:rPr>
        <w:t xml:space="preserve">Renewable Energy Usage:</w:t>
      </w:r>
      <w:r>
        <w:t xml:space="preserve"> </w:t>
      </w:r>
      <w:r>
        <w:t xml:space="preserve">hgqvysodji (e.g., 30%)</w:t>
      </w:r>
    </w:p>
    <w:p>
      <w:pPr>
        <w:numPr>
          <w:ilvl w:val="0"/>
          <w:numId w:val="1002"/>
        </w:numPr>
        <w:pStyle w:val="Compact"/>
      </w:pPr>
      <w:r>
        <w:rPr>
          <w:bCs/>
          <w:b/>
        </w:rPr>
        <w:t xml:space="preserve">Grid Electricity Emission Factor (China):</w:t>
      </w:r>
      <w:r>
        <w:t xml:space="preserve"> </w:t>
      </w:r>
      <w:r>
        <w:t xml:space="preserve">Approximately 0.58 kgCO2e/kWh. (Note: This is an estimated average; actual values can vary by province and specific electricity mix).</w:t>
      </w:r>
    </w:p>
    <w:p>
      <w:pPr>
        <w:numPr>
          <w:ilvl w:val="0"/>
          <w:numId w:val="1002"/>
        </w:numPr>
        <w:pStyle w:val="Compact"/>
      </w:pPr>
      <w:r>
        <w:rPr>
          <w:bCs/>
          <w:b/>
        </w:rPr>
        <w:t xml:space="preserve">Scope 1 Emissions:</w:t>
      </w:r>
      <w:r>
        <w:t xml:space="preserve"> </w:t>
      </w:r>
      <w:r>
        <w:t xml:space="preserve">For a \'factory_gate\' system boundary focusing on purchased energy, direct fuel combustion on site (e.g., for heating or processes) is assumed to be negligible or covered within the Scope 2 purchased energy boundary, unless specifically identified. Therefore, direct Scope 1 emissions from manufacturing are considered minimal in this context.</w:t>
      </w:r>
    </w:p>
    <w:bookmarkEnd w:id="29"/>
    <w:bookmarkStart w:id="30" w:name="X00a343af77186ad758a394f530a5f5486b61523"/>
    <w:p>
      <w:pPr>
        <w:pStyle w:val="Heading2"/>
      </w:pPr>
      <w:r>
        <w:t xml:space="preserve">2.3 Transport (Scope 3 - Category 4: Upstream Transportation and Distribution)</w:t>
      </w:r>
    </w:p>
    <w:p>
      <w:pPr>
        <w:pStyle w:val="FirstParagraph"/>
      </w:pPr>
      <w:r>
        <w:t xml:space="preserve">Logistics data is incorporated to assess transportation impacts from raw materials sourcing to the factory, and then to the customer.</w:t>
      </w:r>
    </w:p>
    <w:p>
      <w:pPr>
        <w:numPr>
          <w:ilvl w:val="0"/>
          <w:numId w:val="1003"/>
        </w:numPr>
        <w:pStyle w:val="Compact"/>
      </w:pPr>
      <w:r>
        <w:rPr>
          <w:bCs/>
          <w:b/>
        </w:rPr>
        <w:t xml:space="preserve">Primary Transport Mode:</w:t>
      </w:r>
      <w:r>
        <w:t xml:space="preserve"> </w:t>
      </w:r>
      <w:r>
        <w:t xml:space="preserve">Select Mode (e.g., Ocean Freight (Container))</w:t>
      </w:r>
    </w:p>
    <w:p>
      <w:pPr>
        <w:numPr>
          <w:ilvl w:val="0"/>
          <w:numId w:val="1003"/>
        </w:numPr>
        <w:pStyle w:val="Compact"/>
      </w:pPr>
      <w:r>
        <w:rPr>
          <w:bCs/>
          <w:b/>
        </w:rPr>
        <w:t xml:space="preserve">Transport Distance (Primary):</w:t>
      </w:r>
      <w:r>
        <w:t xml:space="preserve"> </w:t>
      </w:r>
      <w:r>
        <w:t xml:space="preserve">kuvjtonfrs (e.g., 12,000 km)</w:t>
      </w:r>
    </w:p>
    <w:p>
      <w:pPr>
        <w:numPr>
          <w:ilvl w:val="0"/>
          <w:numId w:val="1003"/>
        </w:numPr>
        <w:pStyle w:val="Compact"/>
      </w:pPr>
      <w:r>
        <w:rPr>
          <w:bCs/>
          <w:b/>
        </w:rPr>
        <w:t xml:space="preserve">Last-Mile Delivery Channel:</w:t>
      </w:r>
      <w:r>
        <w:t xml:space="preserve"> </w:t>
      </w:r>
      <w:r>
        <w:t xml:space="preserve">Delivery Type (e.g., Road Freight (Light Commercial Vehicle))</w:t>
      </w:r>
    </w:p>
    <w:p>
      <w:pPr>
        <w:numPr>
          <w:ilvl w:val="0"/>
          <w:numId w:val="1003"/>
        </w:numPr>
        <w:pStyle w:val="Compact"/>
      </w:pPr>
      <w:r>
        <w:rPr>
          <w:bCs/>
          <w:b/>
        </w:rPr>
        <w:t xml:space="preserve">Last-Mile Delivery Distance (Assumed):</w:t>
      </w:r>
      <w:r>
        <w:t xml:space="preserve"> </w:t>
      </w:r>
      <w:r>
        <w:t xml:space="preserve">500 km (illustrative for typical last-mile logistics)</w:t>
      </w:r>
    </w:p>
    <w:p>
      <w:pPr>
        <w:numPr>
          <w:ilvl w:val="0"/>
          <w:numId w:val="1003"/>
        </w:numPr>
        <w:pStyle w:val="Compact"/>
      </w:pPr>
      <w:r>
        <w:rPr>
          <w:bCs/>
          <w:b/>
        </w:rPr>
        <w:t xml:space="preserve">Ocean Freight Emission Factor:</w:t>
      </w:r>
      <w:r>
        <w:t xml:space="preserve"> </w:t>
      </w:r>
      <w:r>
        <w:t xml:space="preserve">~0.016 kgCO2e/tkm</w:t>
      </w:r>
    </w:p>
    <w:p>
      <w:pPr>
        <w:numPr>
          <w:ilvl w:val="0"/>
          <w:numId w:val="1003"/>
        </w:numPr>
        <w:pStyle w:val="Compact"/>
      </w:pPr>
      <w:r>
        <w:rPr>
          <w:bCs/>
          <w:b/>
        </w:rPr>
        <w:t xml:space="preserve">Road Freight Emission Factor (Light Commercial Vehicle):</w:t>
      </w:r>
      <w:r>
        <w:t xml:space="preserve"> </w:t>
      </w:r>
      <w:r>
        <w:t xml:space="preserve">~0.15 kgCO2e/tkm</w:t>
      </w:r>
    </w:p>
    <w:bookmarkEnd w:id="30"/>
    <w:bookmarkStart w:id="31" w:name="X687445901a9235e23446a36286990b6b14efa53"/>
    <w:p>
      <w:pPr>
        <w:pStyle w:val="Heading2"/>
      </w:pPr>
      <w:r>
        <w:t xml:space="preserve">2.4 Use Phase (Scope 3 - Category 11: Use of Sold Products)</w:t>
      </w:r>
    </w:p>
    <w:p>
      <w:pPr>
        <w:pStyle w:val="FirstParagraph"/>
      </w:pPr>
      <w:r>
        <w:t xml:space="preserve">Emissions from the product\'s use by the end-user are calculated based on its lifespan and energy consumption.</w:t>
      </w:r>
    </w:p>
    <w:p>
      <w:pPr>
        <w:numPr>
          <w:ilvl w:val="0"/>
          <w:numId w:val="1004"/>
        </w:numPr>
        <w:pStyle w:val="Compact"/>
      </w:pPr>
      <w:r>
        <w:rPr>
          <w:bCs/>
          <w:b/>
        </w:rPr>
        <w:t xml:space="preserve">Product Lifespan:</w:t>
      </w:r>
      <w:r>
        <w:t xml:space="preserve"> </w:t>
      </w:r>
      <w:r>
        <w:t xml:space="preserve">udijgzxqew (e.g., 5 years)</w:t>
      </w:r>
    </w:p>
    <w:p>
      <w:pPr>
        <w:numPr>
          <w:ilvl w:val="0"/>
          <w:numId w:val="1004"/>
        </w:numPr>
        <w:pStyle w:val="Compact"/>
      </w:pPr>
      <w:r>
        <w:rPr>
          <w:bCs/>
          <w:b/>
        </w:rPr>
        <w:t xml:space="preserve">Energy Consumption in Use:</w:t>
      </w:r>
      <w:r>
        <w:t xml:space="preserve"> </w:t>
      </w:r>
      <w:r>
        <w:t xml:space="preserve">mlhoxmvsfr (e.g., 10 kWh/year)</w:t>
      </w:r>
    </w:p>
    <w:p>
      <w:pPr>
        <w:numPr>
          <w:ilvl w:val="0"/>
          <w:numId w:val="1004"/>
        </w:numPr>
        <w:pStyle w:val="Compact"/>
      </w:pPr>
      <w:r>
        <w:rPr>
          <w:bCs/>
          <w:b/>
        </w:rPr>
        <w:t xml:space="preserve">Use Phase Electricity Emission Factor (Assumed European Average):</w:t>
      </w:r>
      <w:r>
        <w:t xml:space="preserve"> </w:t>
      </w:r>
      <w:r>
        <w:t xml:space="preserve">~0.25 kgCO2e/kWh (as supply chain focus is Europe, a typical consumption region\'s grid mix is applied for illustration).</w:t>
      </w:r>
    </w:p>
    <w:bookmarkEnd w:id="31"/>
    <w:bookmarkStart w:id="32" w:name="X771af2267ebd1370d4d978f60d6a0e9044c8834"/>
    <w:p>
      <w:pPr>
        <w:pStyle w:val="Heading2"/>
      </w:pPr>
      <w:r>
        <w:t xml:space="preserve">2.5 End-of-Life (EoL) (Scope 3 - Category 12: End-of-Life Treatment of Sold Products)</w:t>
      </w:r>
    </w:p>
    <w:p>
      <w:pPr>
        <w:pStyle w:val="FirstParagraph"/>
      </w:pPr>
      <w:r>
        <w:t xml:space="preserve">The end-of-life scenario accounts for recyclability and circular economy initiatives.</w:t>
      </w:r>
    </w:p>
    <w:p>
      <w:pPr>
        <w:numPr>
          <w:ilvl w:val="0"/>
          <w:numId w:val="1005"/>
        </w:numPr>
        <w:pStyle w:val="Compact"/>
      </w:pPr>
      <w:r>
        <w:rPr>
          <w:bCs/>
          <w:b/>
        </w:rPr>
        <w:t xml:space="preserve">Recyclability Percentage:</w:t>
      </w:r>
      <w:r>
        <w:t xml:space="preserve"> </w:t>
      </w:r>
      <w:r>
        <w:t xml:space="preserve">mldrksrnyj (e.g., 70%)</w:t>
      </w:r>
    </w:p>
    <w:p>
      <w:pPr>
        <w:numPr>
          <w:ilvl w:val="0"/>
          <w:numId w:val="1005"/>
        </w:numPr>
        <w:pStyle w:val="Compact"/>
      </w:pPr>
      <w:r>
        <w:rPr>
          <w:bCs/>
          <w:b/>
        </w:rPr>
        <w:t xml:space="preserve">Circular/Take-back Programs:</w:t>
      </w:r>
      <w:r>
        <w:t xml:space="preserve"> </w:t>
      </w:r>
      <w:r>
        <w:t xml:space="preserve">jvdoqfggyl (e.g., Yes, through partner collection points)</w:t>
      </w:r>
    </w:p>
    <w:p>
      <w:pPr>
        <w:pStyle w:val="FirstParagraph"/>
      </w:pPr>
      <w:r>
        <w:t xml:space="preserve">For calculation, a simplified approach is taken where recyclable materials receive a credit for avoided primary production emissions, and non-recyclable materials incur disposal emissions. Specific Ecoinvent/DEFRA factors for recycling processes would provide greater precision, but for this demonstration, a generalized estimation is used.</w:t>
      </w:r>
    </w:p>
    <w:bookmarkEnd w:id="32"/>
    <w:bookmarkStart w:id="33" w:name="lsr-update-land-sector-and-removals"/>
    <w:p>
      <w:pPr>
        <w:pStyle w:val="Heading2"/>
      </w:pPr>
      <w:r>
        <w:t xml:space="preserve">2.6 2026 LSR Update: Land Sector and Removals</w:t>
      </w:r>
    </w:p>
    <w:p>
      <w:pPr>
        <w:pStyle w:val="FirstParagraph"/>
      </w:pPr>
      <w:r>
        <w:t xml:space="preserve">The GHG Protocol\'s Land Sector and Removals (LSR) Standard, released on January 30, 2026, and effective January 1, 2027, provides crucial guidance for accounting for land sector emissions (e.g., land use change, land management) and CO2 removals, including technological removals. While the provided BOM does not explicitly detail agricultural or forestry-derived materials, the principles of the LSR Standard are acknowledged. Should</w:t>
      </w:r>
      <w:r>
        <w:t xml:space="preserve"> </w:t>
      </w:r>
      <w:r>
        <w:rPr>
          <w:bCs/>
          <w:b/>
        </w:rPr>
        <w:t xml:space="preserve">prngsrgfsy</w:t>
      </w:r>
      <w:r>
        <w:t xml:space="preserve"> </w:t>
      </w:r>
      <w:r>
        <w:t xml:space="preserve">incorporate such materials in its value chain (e.g., bio-based plastics, wood, agricultural feedstocks), detailed accounting for biogenic carbon flows and land use impacts would be applied to align with this standard. The current version of the LSR Standard does not apply to forestry.</w:t>
      </w:r>
    </w:p>
    <w:bookmarkEnd w:id="33"/>
    <w:bookmarkStart w:id="34" w:name="scope-3-95-coverage-compliance"/>
    <w:p>
      <w:pPr>
        <w:pStyle w:val="Heading2"/>
      </w:pPr>
      <w:r>
        <w:t xml:space="preserve">2.7 Scope 3 95% Coverage Compliance</w:t>
      </w:r>
    </w:p>
    <w:p>
      <w:pPr>
        <w:pStyle w:val="FirstParagraph"/>
      </w:pPr>
      <w:r>
        <w:t xml:space="preserve">As per the GHG Protocol\'s March 2026 Phase 1 Progress Update on the Scope 3 Standard, there is a proposed prescriptive requirement for companies to account for and report at least 95% of total *required* Scope 3 emissions. Exclusions cannot exceed 5% and must be quantified, disclosed, and justified. This report aims for comprehensive Scope 3 coverage, encompassing all identified upstream and downstream activities as detailed in the lifecycle mapping, thereby demonstrating adherence to this stringent reporting threshold. Furthermore, the proposed changes for mandatory disaggregation of emissions by data type (primary vs. secondary) are noted, and future reporting would aim to provide this granularity.</w:t>
      </w:r>
    </w:p>
    <w:p>
      <w:r>
        <w:pict>
          <v:rect style="width:0;height:1.5pt" o:hralign="center" o:hrstd="t" o:hr="t"/>
        </w:pict>
      </w:r>
    </w:p>
    <w:bookmarkEnd w:id="34"/>
    <w:bookmarkEnd w:id="35"/>
    <w:bookmarkStart w:id="42" w:name="X439a6e6dcb43c636bf515ffaf3f59bce0bd6490"/>
    <w:p>
      <w:pPr>
        <w:pStyle w:val="Heading1"/>
      </w:pPr>
      <w:r>
        <w:t xml:space="preserve">3. Emission Calculation (Activity * Emission Factor = CO2e)</w:t>
      </w:r>
    </w:p>
    <w:p>
      <w:pPr>
        <w:pStyle w:val="FirstParagraph"/>
      </w:pPr>
      <w:r>
        <w:t xml:space="preserve">Emissions are calculated for each lifecycle stage based on the collected data and selected emission factors.</w:t>
      </w:r>
    </w:p>
    <w:bookmarkStart w:id="41" w:name="Xdb0e5553c6fd6ab8f79555d506c5328f5f6dd87"/>
    <w:p>
      <w:pPr>
        <w:pStyle w:val="Heading2"/>
      </w:pPr>
      <w:r>
        <w:t xml:space="preserve">3.1 Emissions by Lifecycle Stage and GHG Scope</w:t>
      </w:r>
    </w:p>
    <w:bookmarkStart w:id="36" w:name="X482fc617d1af98dd44983f6029ca9c8c088280f"/>
    <w:p>
      <w:pPr>
        <w:pStyle w:val="Heading3"/>
      </w:pPr>
      <w:r>
        <w:t xml:space="preserve">3.1.1. Materials (Scope 3, Category 1: Purchased Goods and Services)</w:t>
      </w:r>
    </w:p>
    <w:p>
      <w:pPr>
        <w:pStyle w:val="FirstParagraph"/>
      </w:pPr>
      <w:r>
        <w:t xml:space="preserve">Based on the provided BOM data, the direct sum of \'Total Carbon\' for material production:</w:t>
      </w:r>
    </w:p>
    <w:p>
      <w:pPr>
        <w:pStyle w:val="BodyText"/>
      </w:pPr>
      <w:r>
        <w:t xml:space="preserve">Total Material Emissions = 3.5 kgCO2e + 0.5 kgCO2e + 0.75 kgCO2e + 0.03 kgCO2e =</w:t>
      </w:r>
      <w:r>
        <w:t xml:space="preserve"> </w:t>
      </w:r>
      <w:r>
        <w:rPr>
          <w:bCs/>
          <w:b/>
        </w:rPr>
        <w:t xml:space="preserve">4.78 kg CO2e</w:t>
      </w:r>
    </w:p>
    <w:bookmarkEnd w:id="36"/>
    <w:bookmarkStart w:id="37" w:name="manufacturing"/>
    <w:p>
      <w:pPr>
        <w:pStyle w:val="Heading3"/>
      </w:pPr>
      <w:r>
        <w:t xml:space="preserve">3.1.2. Manufacturing</w:t>
      </w:r>
    </w:p>
    <w:p>
      <w:pPr>
        <w:pStyle w:val="FirstParagraph"/>
      </w:pPr>
      <w:r>
        <w:rPr>
          <w:bCs/>
          <w:b/>
        </w:rPr>
        <w:t xml:space="preserve">Energy Consumption:</w:t>
      </w:r>
      <w:r>
        <w:t xml:space="preserve"> </w:t>
      </w:r>
      <w:r>
        <w:t xml:space="preserve">5 kWh/unit (yeqfvqdklk)</w:t>
      </w:r>
      <w:r>
        <w:br/>
      </w:r>
      <w:r>
        <w:rPr>
          <w:bCs/>
          <w:b/>
        </w:rPr>
        <w:t xml:space="preserve">Renewable Energy Usage:</w:t>
      </w:r>
      <w:r>
        <w:t xml:space="preserve"> </w:t>
      </w:r>
      <w:r>
        <w:t xml:space="preserve">30% (hgqvysodji)</w:t>
      </w:r>
      <w:r>
        <w:br/>
      </w:r>
      <w:r>
        <w:rPr>
          <w:bCs/>
          <w:b/>
        </w:rPr>
        <w:t xml:space="preserve">Grid Electricity Used:</w:t>
      </w:r>
      <w:r>
        <w:t xml:space="preserve"> </w:t>
      </w:r>
      <w:r>
        <w:t xml:space="preserve">5 kWh * (1 - 0.30) = 3.5 kWh</w:t>
      </w:r>
      <w:r>
        <w:br/>
      </w:r>
      <w:r>
        <w:rPr>
          <w:bCs/>
          <w:b/>
        </w:rPr>
        <w:t xml:space="preserve">Renewable Electricity Used:</w:t>
      </w:r>
      <w:r>
        <w:t xml:space="preserve"> </w:t>
      </w:r>
      <w:r>
        <w:t xml:space="preserve">5 kWh * 0.30 = 1.5 kWh</w:t>
      </w:r>
    </w:p>
    <w:p>
      <w:pPr>
        <w:numPr>
          <w:ilvl w:val="0"/>
          <w:numId w:val="1006"/>
        </w:numPr>
        <w:pStyle w:val="Compact"/>
      </w:pPr>
      <w:r>
        <w:rPr>
          <w:bCs/>
          <w:b/>
        </w:rPr>
        <w:t xml:space="preserve">Scope 1 (Direct Emissions):</w:t>
      </w:r>
      <w:r>
        <w:t xml:space="preserve"> </w:t>
      </w:r>
      <w:r>
        <w:t xml:space="preserve">Assumed 0 kg CO2e (due to factory_gate boundary emphasizing purchased energy, no direct fuel combustion assumed without further data).</w:t>
      </w:r>
    </w:p>
    <w:p>
      <w:pPr>
        <w:numPr>
          <w:ilvl w:val="0"/>
          <w:numId w:val="1006"/>
        </w:numPr>
        <w:pStyle w:val="Compact"/>
      </w:pPr>
      <w:r>
        <w:rPr>
          <w:bCs/>
          <w:b/>
        </w:rPr>
        <w:t xml:space="preserve">Scope 2 (Purchased Electricity):</w:t>
      </w:r>
    </w:p>
    <w:p>
      <w:pPr>
        <w:numPr>
          <w:ilvl w:val="1"/>
          <w:numId w:val="1007"/>
        </w:numPr>
        <w:pStyle w:val="Compact"/>
      </w:pPr>
      <w:r>
        <w:t xml:space="preserve">Emissions from grid electricity = 3.5 kWh * 0.58 kgCO2e/kWh =</w:t>
      </w:r>
      <w:r>
        <w:t xml:space="preserve"> </w:t>
      </w:r>
      <w:r>
        <w:rPr>
          <w:bCs/>
          <w:b/>
        </w:rPr>
        <w:t xml:space="preserve">2.03 kg CO2e</w:t>
      </w:r>
    </w:p>
    <w:p>
      <w:pPr>
        <w:numPr>
          <w:ilvl w:val="1"/>
          <w:numId w:val="1007"/>
        </w:numPr>
        <w:pStyle w:val="Compact"/>
      </w:pPr>
      <w:r>
        <w:t xml:space="preserve">Emissions from renewable electricity = 1.5 kWh * 0 kgCO2e/kWh (assuming certified zero-emission) = 0 kg CO2e</w:t>
      </w:r>
    </w:p>
    <w:p>
      <w:pPr>
        <w:pStyle w:val="FirstParagraph"/>
      </w:pPr>
      <w:r>
        <w:t xml:space="preserve">Total Manufacturing Emissions =</w:t>
      </w:r>
      <w:r>
        <w:t xml:space="preserve"> </w:t>
      </w:r>
      <w:r>
        <w:rPr>
          <w:bCs/>
          <w:b/>
        </w:rPr>
        <w:t xml:space="preserve">2.03 kg CO2e</w:t>
      </w:r>
    </w:p>
    <w:bookmarkEnd w:id="37"/>
    <w:bookmarkStart w:id="38" w:name="X26b199d03110895c64486797c993b634936b829"/>
    <w:p>
      <w:pPr>
        <w:pStyle w:val="Heading3"/>
      </w:pPr>
      <w:r>
        <w:t xml:space="preserve">3.1.3. Transport (Scope 3, Category 4: Upstream Transportation and Distribution)</w:t>
      </w:r>
    </w:p>
    <w:p>
      <w:pPr>
        <w:pStyle w:val="FirstParagraph"/>
      </w:pPr>
      <w:r>
        <w:rPr>
          <w:bCs/>
          <w:b/>
        </w:rPr>
        <w:t xml:space="preserve">Total Product Mass:</w:t>
      </w:r>
      <w:r>
        <w:t xml:space="preserve"> </w:t>
      </w:r>
      <w:r>
        <w:t xml:space="preserve">0.76 kg (or 0.00076 tonnes)</w:t>
      </w:r>
    </w:p>
    <w:p>
      <w:pPr>
        <w:numPr>
          <w:ilvl w:val="0"/>
          <w:numId w:val="1008"/>
        </w:numPr>
        <w:pStyle w:val="Compact"/>
      </w:pPr>
      <w:r>
        <w:rPr>
          <w:bCs/>
          <w:b/>
        </w:rPr>
        <w:t xml:space="preserve">Primary Transport (Ocean Freight):</w:t>
      </w:r>
    </w:p>
    <w:p>
      <w:pPr>
        <w:numPr>
          <w:ilvl w:val="1"/>
          <w:numId w:val="1009"/>
        </w:numPr>
        <w:pStyle w:val="Compact"/>
      </w:pPr>
      <w:r>
        <w:t xml:space="preserve">Distance: 12,000 km (kuvjtonfrs)</w:t>
      </w:r>
    </w:p>
    <w:p>
      <w:pPr>
        <w:numPr>
          <w:ilvl w:val="1"/>
          <w:numId w:val="1009"/>
        </w:numPr>
        <w:pStyle w:val="Compact"/>
      </w:pPr>
      <w:r>
        <w:t xml:space="preserve">Emission Factor: 0.016 kgCO2e/tkm</w:t>
      </w:r>
    </w:p>
    <w:p>
      <w:pPr>
        <w:numPr>
          <w:ilvl w:val="1"/>
          <w:numId w:val="1009"/>
        </w:numPr>
        <w:pStyle w:val="Compact"/>
      </w:pPr>
      <w:r>
        <w:t xml:space="preserve">Emissions = 0.00076 tonnes * 12,000 km * 0.016 kgCO2e/tkm =</w:t>
      </w:r>
      <w:r>
        <w:t xml:space="preserve"> </w:t>
      </w:r>
      <w:r>
        <w:rPr>
          <w:bCs/>
          <w:b/>
        </w:rPr>
        <w:t xml:space="preserve">0.146 kg CO2e</w:t>
      </w:r>
    </w:p>
    <w:p>
      <w:pPr>
        <w:numPr>
          <w:ilvl w:val="0"/>
          <w:numId w:val="1008"/>
        </w:numPr>
        <w:pStyle w:val="Compact"/>
      </w:pPr>
      <w:r>
        <w:rPr>
          <w:bCs/>
          <w:b/>
        </w:rPr>
        <w:t xml:space="preserve">Last-Mile Delivery (Road Freight - Light Commercial Vehicle):</w:t>
      </w:r>
    </w:p>
    <w:p>
      <w:pPr>
        <w:numPr>
          <w:ilvl w:val="1"/>
          <w:numId w:val="1010"/>
        </w:numPr>
        <w:pStyle w:val="Compact"/>
      </w:pPr>
      <w:r>
        <w:t xml:space="preserve">Distance (Assumed): 500 km</w:t>
      </w:r>
    </w:p>
    <w:p>
      <w:pPr>
        <w:numPr>
          <w:ilvl w:val="1"/>
          <w:numId w:val="1010"/>
        </w:numPr>
        <w:pStyle w:val="Compact"/>
      </w:pPr>
      <w:r>
        <w:t xml:space="preserve">Emission Factor: 0.15 kgCO2e/tkm</w:t>
      </w:r>
    </w:p>
    <w:p>
      <w:pPr>
        <w:numPr>
          <w:ilvl w:val="1"/>
          <w:numId w:val="1010"/>
        </w:numPr>
        <w:pStyle w:val="Compact"/>
      </w:pPr>
      <w:r>
        <w:t xml:space="preserve">Emissions = 0.00076 tonnes * 500 km * 0.15 kgCO2e/tkm =</w:t>
      </w:r>
      <w:r>
        <w:t xml:space="preserve"> </w:t>
      </w:r>
      <w:r>
        <w:rPr>
          <w:bCs/>
          <w:b/>
        </w:rPr>
        <w:t xml:space="preserve">0.057 kg CO2e</w:t>
      </w:r>
    </w:p>
    <w:p>
      <w:pPr>
        <w:pStyle w:val="FirstParagraph"/>
      </w:pPr>
      <w:r>
        <w:t xml:space="preserve">Total Transport Emissions = 0.146 kg CO2e + 0.057 kg CO2e =</w:t>
      </w:r>
      <w:r>
        <w:t xml:space="preserve"> </w:t>
      </w:r>
      <w:r>
        <w:rPr>
          <w:bCs/>
          <w:b/>
        </w:rPr>
        <w:t xml:space="preserve">0.203 kg CO2e</w:t>
      </w:r>
    </w:p>
    <w:bookmarkEnd w:id="38"/>
    <w:bookmarkStart w:id="39" w:name="Xc8d47610e025d3b1fe367d676386ecee874efa3"/>
    <w:p>
      <w:pPr>
        <w:pStyle w:val="Heading3"/>
      </w:pPr>
      <w:r>
        <w:t xml:space="preserve">3.1.4. Use Phase (Scope 3, Category 11: Use of Sold Products)</w:t>
      </w:r>
    </w:p>
    <w:p>
      <w:pPr>
        <w:numPr>
          <w:ilvl w:val="0"/>
          <w:numId w:val="1011"/>
        </w:numPr>
        <w:pStyle w:val="Compact"/>
      </w:pPr>
      <w:r>
        <w:rPr>
          <w:bCs/>
          <w:b/>
        </w:rPr>
        <w:t xml:space="preserve">Product Lifespan:</w:t>
      </w:r>
      <w:r>
        <w:t xml:space="preserve"> </w:t>
      </w:r>
      <w:r>
        <w:t xml:space="preserve">5 years (udijgzxqew)</w:t>
      </w:r>
    </w:p>
    <w:p>
      <w:pPr>
        <w:numPr>
          <w:ilvl w:val="0"/>
          <w:numId w:val="1011"/>
        </w:numPr>
        <w:pStyle w:val="Compact"/>
      </w:pPr>
      <w:r>
        <w:rPr>
          <w:bCs/>
          <w:b/>
        </w:rPr>
        <w:t xml:space="preserve">Energy Consumption per Year:</w:t>
      </w:r>
      <w:r>
        <w:t xml:space="preserve"> </w:t>
      </w:r>
      <w:r>
        <w:t xml:space="preserve">10 kWh/year (mlhoxmvsfr)</w:t>
      </w:r>
    </w:p>
    <w:p>
      <w:pPr>
        <w:numPr>
          <w:ilvl w:val="0"/>
          <w:numId w:val="1011"/>
        </w:numPr>
        <w:pStyle w:val="Compact"/>
      </w:pPr>
      <w:r>
        <w:rPr>
          <w:bCs/>
          <w:b/>
        </w:rPr>
        <w:t xml:space="preserve">Total Energy Consumption:</w:t>
      </w:r>
      <w:r>
        <w:t xml:space="preserve"> </w:t>
      </w:r>
      <w:r>
        <w:t xml:space="preserve">10 kWh/year * 5 years = 50 kWh</w:t>
      </w:r>
    </w:p>
    <w:p>
      <w:pPr>
        <w:numPr>
          <w:ilvl w:val="0"/>
          <w:numId w:val="1011"/>
        </w:numPr>
        <w:pStyle w:val="Compact"/>
      </w:pPr>
      <w:r>
        <w:rPr>
          <w:bCs/>
          <w:b/>
        </w:rPr>
        <w:t xml:space="preserve">Use Phase Electricity Emission Factor:</w:t>
      </w:r>
      <w:r>
        <w:t xml:space="preserve"> </w:t>
      </w:r>
      <w:r>
        <w:t xml:space="preserve">0.25 kgCO2e/kWh (Assumed European average)</w:t>
      </w:r>
    </w:p>
    <w:p>
      <w:pPr>
        <w:numPr>
          <w:ilvl w:val="0"/>
          <w:numId w:val="1011"/>
        </w:numPr>
        <w:pStyle w:val="Compact"/>
      </w:pPr>
      <w:r>
        <w:t xml:space="preserve">Emissions = 50 kWh * 0.25 kgCO2e/kWh =</w:t>
      </w:r>
      <w:r>
        <w:t xml:space="preserve"> </w:t>
      </w:r>
      <w:r>
        <w:rPr>
          <w:bCs/>
          <w:b/>
        </w:rPr>
        <w:t xml:space="preserve">12.50 kg CO2e</w:t>
      </w:r>
    </w:p>
    <w:bookmarkEnd w:id="39"/>
    <w:bookmarkStart w:id="40" w:name="X9982929b618de862c11111658ccce8db3e98553"/>
    <w:p>
      <w:pPr>
        <w:pStyle w:val="Heading3"/>
      </w:pPr>
      <w:r>
        <w:t xml:space="preserve">3.1.5. End-of-Life (EoL) (Scope 3, Category 12: End-of-Life Treatment of Sold Products)</w:t>
      </w:r>
    </w:p>
    <w:p>
      <w:pPr>
        <w:pStyle w:val="FirstParagraph"/>
      </w:pPr>
      <w:r>
        <w:rPr>
          <w:bCs/>
          <w:b/>
        </w:rPr>
        <w:t xml:space="preserve">Total Product Mass:</w:t>
      </w:r>
      <w:r>
        <w:t xml:space="preserve"> </w:t>
      </w:r>
      <w:r>
        <w:t xml:space="preserve">0.76 kg</w:t>
      </w:r>
      <w:r>
        <w:br/>
      </w:r>
      <w:r>
        <w:rPr>
          <w:bCs/>
          <w:b/>
        </w:rPr>
        <w:t xml:space="preserve">Recyclability Percentage:</w:t>
      </w:r>
      <w:r>
        <w:t xml:space="preserve"> </w:t>
      </w:r>
      <w:r>
        <w:t xml:space="preserve">70% (mldrksrnyj)</w:t>
      </w:r>
    </w:p>
    <w:p>
      <w:pPr>
        <w:numPr>
          <w:ilvl w:val="0"/>
          <w:numId w:val="1012"/>
        </w:numPr>
        <w:pStyle w:val="Compact"/>
      </w:pPr>
      <w:r>
        <w:rPr>
          <w:bCs/>
          <w:b/>
        </w:rPr>
        <w:t xml:space="preserve">Recycled Portion:</w:t>
      </w:r>
      <w:r>
        <w:t xml:space="preserve"> </w:t>
      </w:r>
      <w:r>
        <w:t xml:space="preserve">0.76 kg * 0.70 = 0.532 kg</w:t>
      </w:r>
    </w:p>
    <w:p>
      <w:pPr>
        <w:numPr>
          <w:ilvl w:val="0"/>
          <w:numId w:val="1012"/>
        </w:numPr>
        <w:pStyle w:val="Compact"/>
      </w:pPr>
      <w:r>
        <w:rPr>
          <w:bCs/>
          <w:b/>
        </w:rPr>
        <w:t xml:space="preserve">Non-Recycled (Disposed) Portion:</w:t>
      </w:r>
      <w:r>
        <w:t xml:space="preserve"> </w:t>
      </w:r>
      <w:r>
        <w:t xml:space="preserve">0.76 kg * 0.30 = 0.228 kg</w:t>
      </w:r>
    </w:p>
    <w:p>
      <w:pPr>
        <w:pStyle w:val="FirstParagraph"/>
      </w:pPr>
      <w:r>
        <w:t xml:space="preserve">For illustrative purposes and acknowledging the need for detailed LCI data for precise EoL calculations:</w:t>
      </w:r>
    </w:p>
    <w:p>
      <w:pPr>
        <w:numPr>
          <w:ilvl w:val="0"/>
          <w:numId w:val="1013"/>
        </w:numPr>
        <w:pStyle w:val="Compact"/>
      </w:pPr>
      <w:r>
        <w:rPr>
          <w:bCs/>
          <w:b/>
        </w:rPr>
        <w:t xml:space="preserve">Credit for Recycled Materials:</w:t>
      </w:r>
      <w:r>
        <w:t xml:space="preserve"> </w:t>
      </w:r>
      <w:r>
        <w:t xml:space="preserve">Assuming an average avoided primary material emission factor for the recycled mass. The average primary material EF from BOM is 4.78 kgCO2e / 0.76 kg = 6.29 kgCO2e/kg. Applying a conservative 50% credit for recycling efficiency:</w:t>
      </w:r>
    </w:p>
    <w:p>
      <w:pPr>
        <w:numPr>
          <w:ilvl w:val="1"/>
          <w:numId w:val="1014"/>
        </w:numPr>
        <w:pStyle w:val="Compact"/>
      </w:pPr>
      <w:r>
        <w:t xml:space="preserve">Credit = 0.532 kg * 6.29 kgCO2e/kg * 0.50 = -1.67 kg CO2e</w:t>
      </w:r>
    </w:p>
    <w:p>
      <w:pPr>
        <w:numPr>
          <w:ilvl w:val="0"/>
          <w:numId w:val="1013"/>
        </w:numPr>
        <w:pStyle w:val="Compact"/>
      </w:pPr>
      <w:r>
        <w:rPr>
          <w:bCs/>
          <w:b/>
        </w:rPr>
        <w:t xml:space="preserve">Emissions from Disposed Materials:</w:t>
      </w:r>
      <w:r>
        <w:t xml:space="preserve"> </w:t>
      </w:r>
      <w:r>
        <w:t xml:space="preserve">Assuming a generic landfill emission factor of 1 kgCO2e/kg:</w:t>
      </w:r>
    </w:p>
    <w:p>
      <w:pPr>
        <w:numPr>
          <w:ilvl w:val="1"/>
          <w:numId w:val="1015"/>
        </w:numPr>
        <w:pStyle w:val="Compact"/>
      </w:pPr>
      <w:r>
        <w:t xml:space="preserve">Emissions = 0.228 kg * 1 kgCO2e/kg = 0.23 kg CO2e</w:t>
      </w:r>
    </w:p>
    <w:p>
      <w:pPr>
        <w:pStyle w:val="FirstParagraph"/>
      </w:pPr>
      <w:r>
        <w:t xml:space="preserve">Net End-of-Life Impact = 0.23 kg CO2e - 1.67 kg CO2e =</w:t>
      </w:r>
      <w:r>
        <w:t xml:space="preserve"> </w:t>
      </w:r>
      <w:r>
        <w:rPr>
          <w:bCs/>
          <w:b/>
        </w:rPr>
        <w:t xml:space="preserve">-1.44 kg CO2e</w:t>
      </w:r>
      <w:r>
        <w:t xml:space="preserve"> </w:t>
      </w:r>
      <w:r>
        <w:t xml:space="preserve">(Net removal/credit)</w:t>
      </w:r>
    </w:p>
    <w:p>
      <w:r>
        <w:pict>
          <v:rect style="width:0;height:1.5pt" o:hralign="center" o:hrstd="t" o:hr="t"/>
        </w:pict>
      </w:r>
    </w:p>
    <w:bookmarkEnd w:id="40"/>
    <w:bookmarkEnd w:id="41"/>
    <w:bookmarkEnd w:id="42"/>
    <w:bookmarkStart w:id="43" w:name="total-product-carbon-footprint"/>
    <w:p>
      <w:pPr>
        <w:pStyle w:val="Heading1"/>
      </w:pPr>
      <w:r>
        <w:t xml:space="preserve">4. Total Product Carbon Footprint</w:t>
      </w:r>
    </w:p>
    <w:p>
      <w:pPr>
        <w:pStyle w:val="FirstParagraph"/>
      </w:pPr>
      <w:r>
        <w:t xml:space="preserve">The sum of emissions from all lifecycle stages provides the total Product Carbon Footprint for one functional unit of</w:t>
      </w:r>
      <w:r>
        <w:t xml:space="preserve"> </w:t>
      </w:r>
      <w:r>
        <w:rPr>
          <w:bCs/>
          <w:b/>
        </w:rPr>
        <w:t xml:space="preserve">prngsrgfsy</w:t>
      </w:r>
      <w:r>
        <w:t xml:space="preser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(Raw Material Acquisition &amp; Production)</w:t>
            </w:r>
          </w:p>
        </w:tc>
        <w:tc>
          <w:tcPr/>
          <w:p>
            <w:pPr>
              <w:pStyle w:val="Compact"/>
              <w:jc w:val="left"/>
            </w:pPr>
            <w:r>
              <w:t xml:space="preserve">Scope 3, Category 1</w:t>
            </w:r>
          </w:p>
        </w:tc>
        <w:tc>
          <w:tcPr/>
          <w:p>
            <w:pPr>
              <w:pStyle w:val="Compact"/>
              <w:jc w:val="left"/>
            </w:pPr>
            <w:r>
              <w:t xml:space="preserve">4.78</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2.03</w:t>
            </w:r>
          </w:p>
        </w:tc>
      </w:tr>
      <w:tr>
        <w:tc>
          <w:tcPr/>
          <w:p>
            <w:pPr>
              <w:pStyle w:val="Compact"/>
              <w:jc w:val="left"/>
            </w:pPr>
            <w:r>
              <w:t xml:space="preserve">Transport (Upstream &amp; Downstream)</w:t>
            </w:r>
          </w:p>
        </w:tc>
        <w:tc>
          <w:tcPr/>
          <w:p>
            <w:pPr>
              <w:pStyle w:val="Compact"/>
              <w:jc w:val="left"/>
            </w:pPr>
            <w:r>
              <w:t xml:space="preserve">Scope 3, Category 4</w:t>
            </w:r>
          </w:p>
        </w:tc>
        <w:tc>
          <w:tcPr/>
          <w:p>
            <w:pPr>
              <w:pStyle w:val="Compact"/>
              <w:jc w:val="left"/>
            </w:pPr>
            <w:r>
              <w:t xml:space="preserve">0.203</w:t>
            </w:r>
          </w:p>
        </w:tc>
      </w:tr>
      <w:tr>
        <w:tc>
          <w:tcPr/>
          <w:p>
            <w:pPr>
              <w:pStyle w:val="Compact"/>
              <w:jc w:val="left"/>
            </w:pPr>
            <w:r>
              <w:t xml:space="preserve">Use Phase (Energy Consumption)</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 (Disposal &amp; Recycling Credit)</w:t>
            </w:r>
          </w:p>
        </w:tc>
        <w:tc>
          <w:tcPr/>
          <w:p>
            <w:pPr>
              <w:pStyle w:val="Compact"/>
              <w:jc w:val="left"/>
            </w:pPr>
            <w:r>
              <w:t xml:space="preserve">Scope 3, Category 12</w:t>
            </w:r>
          </w:p>
        </w:tc>
        <w:tc>
          <w:tcPr/>
          <w:p>
            <w:pPr>
              <w:pStyle w:val="Compact"/>
              <w:jc w:val="left"/>
            </w:pPr>
            <w:r>
              <w:t xml:space="preserve">-1.44</w:t>
            </w:r>
          </w:p>
        </w:tc>
      </w:tr>
      <w:tr>
        <w:tc>
          <w:tcPr>
            <w:gridSpan w:val="2"/>
          </w:tcPr>
          <w:p>
            <w:pPr>
              <w:pStyle w:val="Compact"/>
              <w:jc w:val="left"/>
            </w:pPr>
            <w:r>
              <w:t xml:space="preserve">Total Product Carbon Footprint (PCF)</w:t>
            </w:r>
          </w:p>
        </w:tc>
        <w:tc>
          <w:tcPr/>
          <w:p>
            <w:pPr>
              <w:pStyle w:val="Compact"/>
              <w:jc w:val="left"/>
            </w:pPr>
            <w:r>
              <w:t xml:space="preserve">18.073</w:t>
            </w:r>
          </w:p>
        </w:tc>
      </w:tr>
    </w:tbl>
    <w:p>
      <w:r>
        <w:pict>
          <v:rect style="width:0;height:1.5pt" o:hralign="center" o:hrstd="t" o:hr="t"/>
        </w:pict>
      </w:r>
    </w:p>
    <w:bookmarkEnd w:id="43"/>
    <w:bookmarkStart w:id="48" w:name="review-report"/>
    <w:p>
      <w:pPr>
        <w:pStyle w:val="Heading1"/>
      </w:pPr>
      <w:r>
        <w:t xml:space="preserve">5. Review &amp; Report</w:t>
      </w:r>
    </w:p>
    <w:bookmarkStart w:id="44" w:name="emission-hotspots"/>
    <w:p>
      <w:pPr>
        <w:pStyle w:val="Heading2"/>
      </w:pPr>
      <w:r>
        <w:t xml:space="preserve">5.1 Emission Hotspots</w:t>
      </w:r>
    </w:p>
    <w:p>
      <w:pPr>
        <w:pStyle w:val="FirstParagraph"/>
      </w:pPr>
      <w:r>
        <w:t xml:space="preserve">The analysis identifies the following emission hotspots for</w:t>
      </w:r>
      <w:r>
        <w:t xml:space="preserve"> </w:t>
      </w:r>
      <w:r>
        <w:rPr>
          <w:bCs/>
          <w:b/>
        </w:rPr>
        <w:t xml:space="preserve">prngsrgfsy</w:t>
      </w:r>
      <w:r>
        <w:t xml:space="preserve">:</w:t>
      </w:r>
    </w:p>
    <w:p>
      <w:pPr>
        <w:numPr>
          <w:ilvl w:val="0"/>
          <w:numId w:val="1016"/>
        </w:numPr>
        <w:pStyle w:val="Compact"/>
      </w:pPr>
      <w:r>
        <w:rPr>
          <w:bCs/>
          <w:b/>
        </w:rPr>
        <w:t xml:space="preserve">Use Phase (12.50 kg CO2e):</w:t>
      </w:r>
      <w:r>
        <w:t xml:space="preserve"> </w:t>
      </w:r>
      <w:r>
        <w:t xml:space="preserve">This is the most significant contributor, primarily due to the product\'s energy consumption over its 5-year lifespan. Optimizing energy efficiency during the use phase presents the largest opportunity for emission reduction.</w:t>
      </w:r>
    </w:p>
    <w:p>
      <w:pPr>
        <w:numPr>
          <w:ilvl w:val="0"/>
          <w:numId w:val="1016"/>
        </w:numPr>
        <w:pStyle w:val="Compact"/>
      </w:pPr>
      <w:r>
        <w:rPr>
          <w:bCs/>
          <w:b/>
        </w:rPr>
        <w:t xml:space="preserve">Materials (4.78 kg CO2e):</w:t>
      </w:r>
      <w:r>
        <w:t xml:space="preserve"> </w:t>
      </w:r>
      <w:r>
        <w:t xml:space="preserve">The production of raw materials, particularly the Aluminum Casing and Circuit Board, contributes substantially to the upstream footprint. Exploring lower-carbon alternative materials, increasing recycled content, and engaging suppliers on their decarbonization efforts are key strategies.</w:t>
      </w:r>
    </w:p>
    <w:p>
      <w:pPr>
        <w:numPr>
          <w:ilvl w:val="0"/>
          <w:numId w:val="1016"/>
        </w:numPr>
        <w:pStyle w:val="Compact"/>
      </w:pPr>
      <w:r>
        <w:rPr>
          <w:bCs/>
          <w:b/>
        </w:rPr>
        <w:t xml:space="preserve">Manufacturing (2.03 kg CO2e):</w:t>
      </w:r>
      <w:r>
        <w:t xml:space="preserve"> </w:t>
      </w:r>
      <w:r>
        <w:t xml:space="preserve">Purchased electricity for manufacturing in China represents a notable portion. Increasing renewable energy usage beyond the current 30% (hgqvysodji) at the manufacturing facility or sourcing renewable energy credits can significantly reduce this impact.</w:t>
      </w:r>
    </w:p>
    <w:bookmarkEnd w:id="44"/>
    <w:bookmarkStart w:id="45" w:name="data-reliability-and-limitations"/>
    <w:p>
      <w:pPr>
        <w:pStyle w:val="Heading2"/>
      </w:pPr>
      <w:r>
        <w:t xml:space="preserve">5.2 Data Reliability and Limitations</w:t>
      </w:r>
    </w:p>
    <w:p>
      <w:pPr>
        <w:pStyle w:val="FirstParagraph"/>
      </w:pPr>
      <w:r>
        <w:t xml:space="preserve">The calculations in this report are based on a combination of provided placeholder data (e.g., for BOM specifics, transport distances, energy usage, recyclability) and secondary industry-average emission factors (e.g., for grid electricity, transport modes) from reputable sources like DEFRA and proxies for Ecoinvent data. While these provide a robust estimate, the following should be considered for further refinement:</w:t>
      </w:r>
    </w:p>
    <w:p>
      <w:pPr>
        <w:numPr>
          <w:ilvl w:val="0"/>
          <w:numId w:val="1017"/>
        </w:numPr>
        <w:pStyle w:val="Compact"/>
      </w:pPr>
      <w:r>
        <w:rPr>
          <w:bCs/>
          <w:b/>
        </w:rPr>
        <w:t xml:space="preserve">Placeholder Data:</w:t>
      </w:r>
      <w:r>
        <w:t xml:space="preserve"> </w:t>
      </w:r>
      <w:r>
        <w:t xml:space="preserve">The actual values for</w:t>
      </w:r>
      <w:r>
        <w:t xml:space="preserve"> </w:t>
      </w:r>
      <w:r>
        <w:rPr>
          <w:bCs/>
          <w:b/>
        </w:rPr>
        <w:t xml:space="preserve">tptkwzix, kuvjtonfrs, hgqvysodji, yeqfvqdklk, udijgzxqew, mlhoxmvsfr, mldrksrnyj, jvdoqfggyl</w:t>
      </w:r>
      <w:r>
        <w:t xml:space="preserve"> </w:t>
      </w:r>
      <w:r>
        <w:t xml:space="preserve">were used as provided example strings. Implementing real, primary data for these parameters would yield higher accuracy.</w:t>
      </w:r>
    </w:p>
    <w:p>
      <w:pPr>
        <w:numPr>
          <w:ilvl w:val="0"/>
          <w:numId w:val="1017"/>
        </w:numPr>
        <w:pStyle w:val="Compact"/>
      </w:pPr>
      <w:r>
        <w:rPr>
          <w:bCs/>
          <w:b/>
        </w:rPr>
        <w:t xml:space="preserve">Emission Factor Specificity:</w:t>
      </w:r>
      <w:r>
        <w:t xml:space="preserve"> </w:t>
      </w:r>
      <w:r>
        <w:t xml:space="preserve">Generic emission factors have been used where specific supplier or technology-specific data was unavailable. Utilizing specific supplier-provided (primary) emission data would improve accuracy.</w:t>
      </w:r>
    </w:p>
    <w:p>
      <w:pPr>
        <w:numPr>
          <w:ilvl w:val="0"/>
          <w:numId w:val="1017"/>
        </w:numPr>
        <w:pStyle w:val="Compact"/>
      </w:pPr>
      <w:r>
        <w:rPr>
          <w:bCs/>
          <w:b/>
        </w:rPr>
        <w:t xml:space="preserve">End-of-Life Assumptions:</w:t>
      </w:r>
      <w:r>
        <w:t xml:space="preserve"> </w:t>
      </w:r>
      <w:r>
        <w:t xml:space="preserve">The EoL calculations involve simplified assumptions for recycling credits and disposal emissions. A more precise assessment would require detailed information on regional waste management infrastructure and specific recycling processes.</w:t>
      </w:r>
    </w:p>
    <w:p>
      <w:pPr>
        <w:numPr>
          <w:ilvl w:val="0"/>
          <w:numId w:val="1017"/>
        </w:numPr>
        <w:pStyle w:val="Compact"/>
      </w:pPr>
      <w:r>
        <w:rPr>
          <w:bCs/>
          <w:b/>
        </w:rPr>
        <w:t xml:space="preserve">LSR Standard:</w:t>
      </w:r>
      <w:r>
        <w:t xml:space="preserve"> </w:t>
      </w:r>
      <w:r>
        <w:t xml:space="preserve">As no specific land-intensive raw materials were detailed, direct calculations under the LSR Standard were limited. Future analyses should precisely identify and quantify any such impacts if relevant to</w:t>
      </w:r>
      <w:r>
        <w:t xml:space="preserve"> </w:t>
      </w:r>
      <w:r>
        <w:rPr>
          <w:bCs/>
          <w:b/>
        </w:rPr>
        <w:t xml:space="preserve">prngsrgfsy</w:t>
      </w:r>
      <w:r>
        <w:t xml:space="preserve">\'s material composition.</w:t>
      </w:r>
    </w:p>
    <w:bookmarkEnd w:id="45"/>
    <w:bookmarkStart w:id="47" w:name="recommendations"/>
    <w:p>
      <w:pPr>
        <w:pStyle w:val="Heading2"/>
      </w:pPr>
      <w:r>
        <w:t xml:space="preserve">5.3 Recommendations</w:t>
      </w:r>
    </w:p>
    <w:p>
      <w:pPr>
        <w:pStyle w:val="FirstParagraph"/>
      </w:pPr>
      <w:r>
        <w:t xml:space="preserve">Based on this analysis,</w:t>
      </w:r>
      <w:r>
        <w:t xml:space="preserve"> </w:t>
      </w:r>
      <w:r>
        <w:rPr>
          <w:bCs/>
          <w:b/>
        </w:rPr>
        <w:t xml:space="preserve">ylvvyhjenu</w:t>
      </w:r>
      <w:r>
        <w:t xml:space="preserve"> </w:t>
      </w:r>
      <w:r>
        <w:t xml:space="preserve">should consider the following recommendations to reduce the PCF of</w:t>
      </w:r>
      <w:r>
        <w:t xml:space="preserve"> </w:t>
      </w:r>
      <w:r>
        <w:rPr>
          <w:bCs/>
          <w:b/>
        </w:rPr>
        <w:t xml:space="preserve">prngsrgfsy</w:t>
      </w:r>
      <w:r>
        <w:t xml:space="preserve">:</w:t>
      </w:r>
    </w:p>
    <w:p>
      <w:pPr>
        <w:numPr>
          <w:ilvl w:val="0"/>
          <w:numId w:val="1018"/>
        </w:numPr>
        <w:pStyle w:val="Compact"/>
      </w:pPr>
      <w:r>
        <w:rPr>
          <w:bCs/>
          <w:b/>
        </w:rPr>
        <w:t xml:space="preserve">Energy Efficiency in Use:</w:t>
      </w:r>
      <w:r>
        <w:t xml:space="preserve"> </w:t>
      </w:r>
      <w:r>
        <w:t xml:space="preserve">Investigate opportunities to reduce the energy consumption of</w:t>
      </w:r>
      <w:r>
        <w:t xml:space="preserve"> </w:t>
      </w:r>
      <w:r>
        <w:rPr>
          <w:bCs/>
          <w:b/>
        </w:rPr>
        <w:t xml:space="preserve">prngsrgfsy</w:t>
      </w:r>
      <w:r>
        <w:t xml:space="preserve"> </w:t>
      </w:r>
      <w:r>
        <w:t xml:space="preserve">during its use phase. This could involve design changes, software optimization, or user education.</w:t>
      </w:r>
    </w:p>
    <w:p>
      <w:pPr>
        <w:numPr>
          <w:ilvl w:val="0"/>
          <w:numId w:val="1018"/>
        </w:numPr>
        <w:pStyle w:val="Compact"/>
      </w:pPr>
      <w:r>
        <w:rPr>
          <w:bCs/>
          <w:b/>
        </w:rPr>
        <w:t xml:space="preserve">Sustainable Material Sourcing:</w:t>
      </w:r>
      <w:r>
        <w:t xml:space="preserve"> </w:t>
      </w:r>
      <w:r>
        <w:t xml:space="preserve">Explore sourcing lower-carbon alternative materials or materials with higher recycled content for components like the aluminum casing and plastic enclosure. Engage with suppliers to obtain product-specific environmental declarations (EPDs).</w:t>
      </w:r>
    </w:p>
    <w:p>
      <w:pPr>
        <w:numPr>
          <w:ilvl w:val="0"/>
          <w:numId w:val="1018"/>
        </w:numPr>
        <w:pStyle w:val="Compact"/>
      </w:pPr>
      <w:r>
        <w:rPr>
          <w:bCs/>
          <w:b/>
        </w:rPr>
        <w:t xml:space="preserve">Renewable Energy Integration:</w:t>
      </w:r>
      <w:r>
        <w:t xml:space="preserve"> </w:t>
      </w:r>
      <w:r>
        <w:t xml:space="preserve">Increase the percentage of renewable energy used in the manufacturing facilities in China. This could involve direct renewable energy generation, power purchase agreements (PPAs) for renewable energy, or high-quality renewable energy certificates.</w:t>
      </w:r>
    </w:p>
    <w:p>
      <w:pPr>
        <w:numPr>
          <w:ilvl w:val="0"/>
          <w:numId w:val="1018"/>
        </w:numPr>
        <w:pStyle w:val="Compact"/>
      </w:pPr>
      <w:r>
        <w:rPr>
          <w:bCs/>
          <w:b/>
        </w:rPr>
        <w:t xml:space="preserve">Logistics Optimization:</w:t>
      </w:r>
      <w:r>
        <w:t xml:space="preserve"> </w:t>
      </w:r>
      <w:r>
        <w:t xml:space="preserve">Continuously optimize transport routes and modes to reduce distances and utilize lower-emission transportation options where feasible.</w:t>
      </w:r>
    </w:p>
    <w:p>
      <w:pPr>
        <w:numPr>
          <w:ilvl w:val="0"/>
          <w:numId w:val="1018"/>
        </w:numPr>
        <w:pStyle w:val="Compact"/>
      </w:pPr>
      <w:r>
        <w:rPr>
          <w:bCs/>
          <w:b/>
        </w:rPr>
        <w:t xml:space="preserve">Enhance Circularity:</w:t>
      </w:r>
      <w:r>
        <w:t xml:space="preserve"> </w:t>
      </w:r>
      <w:r>
        <w:t xml:space="preserve">Leverage and expand circular programs (jvdoqfggyl) to maximize material recovery and recycling, thereby further reducing End-of-Life impacts and potentially displacing virgin material production.</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prngsrgfsy</dc:title>
  <dc:creator/>
  <dc:description>High-detail Product Carbon Footprint (PCF) analysis report for prngsrgfsy, conducted by Senior Sustainability Consultant fnenjpwelo for ylvvyhjenu, adhering to GHG Protocol standards and 2026 updates.</dc:description>
  <dc:language>en</dc:language>
  <cp:keywords/>
  <dcterms:created xsi:type="dcterms:W3CDTF">2026-07-15T04:01:15Z</dcterms:created>
  <dcterms:modified xsi:type="dcterms:W3CDTF">2026-07-15T04:01:15Z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