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prjljowpik</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prjljowpik</w:t>
      </w:r>
    </w:p>
    <w:p>
      <w:pPr>
        <w:pStyle w:val="BodyText"/>
      </w:pPr>
      <w:r>
        <w:t xml:space="preserve">Company: dlooirfhjn</w:t>
      </w:r>
    </w:p>
    <w:p>
      <w:pPr>
        <w:pStyle w:val="BodyText"/>
      </w:pPr>
      <w:r>
        <w:t xml:space="preserve">Senior Sustainability Consultant: gxlmrsuqsl</w:t>
      </w:r>
    </w:p>
    <w:p>
      <w:pPr>
        <w:pStyle w:val="BodyText"/>
      </w:pPr>
      <w:r>
        <w:t xml:space="preserve">Protocol Data (Accounting Standard): GHG Protocol</w:t>
      </w:r>
    </w:p>
    <w:p>
      <w:pPr>
        <w:pStyle w:val="BodyText"/>
      </w:pPr>
      <w:r>
        <w:t xml:space="preserve">Disclaimer: This report is generated based on available data and industry standards, including specific parameters provided by the user. While every effort has been made to ensure accuracy and adherence to best practices, the results are indicative and subject to the completeness and reliability of the underlying data.</w:t>
      </w:r>
    </w:p>
    <w:p>
      <w:pPr>
        <w:pStyle w:val="BodyText"/>
      </w:pPr>
      <w:r>
        <w:t xml:space="preserve">Generated Date: May 27, 2026</w:t>
      </w:r>
    </w:p>
    <w:bookmarkEnd w:id="20"/>
    <w:bookmarkStart w:id="21" w:name="X63a5896a72499370fc1397a4fbb96d526bedfc0"/>
    <w:p>
      <w:pPr>
        <w:pStyle w:val="Heading1"/>
      </w:pPr>
      <w:r>
        <w:t xml:space="preserve">Product Carbon Footprint Report: prjljowpik</w:t>
      </w:r>
    </w:p>
    <w:p>
      <w:pPr>
        <w:pStyle w:val="FirstParagraph"/>
      </w:pPr>
      <w:r>
        <w:t xml:space="preserve">Generated Date: 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\'prjljowpik\', manufactured by \'dlooirfhjn\'. The analysis was performed by gxlmrsuqsl, a Senior Sustainability Consultant, strictly adhering to the GHG Protocol accounting standards, including the latest 2026 updates for Scope 3 and the Land Sector and Removals (LSR) Standard. The functional unit for this study is 1.0 unit of prjljowpik, with a system boundary defined as \'factory_gate\'. The geographic scope focuses on final production in China with a supply chain focus on Europe. This report aims to identify key emission hotspots across the product\'s lifecycle, from material acquisition to end-of-life, providing a comprehensive understanding of its environmental impact.</w:t>
      </w:r>
    </w:p>
    <w:p>
      <w:r>
        <w:pict>
          <v:rect style="width:0;height:1.5pt" o:hralign="center" o:hrstd="t" o:hr="t"/>
        </w:pict>
      </w:r>
    </w:p>
    <w:bookmarkEnd w:id="22"/>
    <w:bookmarkStart w:id="40" w:name="methodology"/>
    <w:p>
      <w:pPr>
        <w:pStyle w:val="Heading2"/>
      </w:pPr>
      <w:r>
        <w:t xml:space="preserve">Methodology</w:t>
      </w:r>
    </w:p>
    <w:p>
      <w:pPr>
        <w:pStyle w:val="FirstParagraph"/>
      </w:pPr>
      <w:r>
        <w:t xml:space="preserve">The Product Carbon Footprint analysis for prjljowpik follows the five-step methodology as prescribed by the GHG Protocol:</w:t>
      </w:r>
    </w:p>
    <w:p>
      <w:pPr>
        <w:numPr>
          <w:ilvl w:val="0"/>
          <w:numId w:val="1001"/>
        </w:numPr>
        <w:pStyle w:val="Heading3"/>
      </w:pPr>
      <w:bookmarkStart w:id="23" w:name="define-scope"/>
      <w:r>
        <w:t xml:space="preserve">Define Scope</w:t>
      </w:r>
      <w:bookmarkEnd w:id="23"/>
    </w:p>
    <w:p>
      <w:pPr>
        <w:numPr>
          <w:ilvl w:val="0"/>
          <w:numId w:val="1000"/>
        </w:numPr>
      </w:pPr>
      <w:r>
        <w:t xml:space="preserve">The functional unit is defined as</w:t>
      </w:r>
      <w:r>
        <w:t xml:space="preserve"> </w:t>
      </w:r>
      <w:r>
        <w:rPr>
          <w:bCs/>
          <w:b/>
        </w:rPr>
        <w:t xml:space="preserve">1.0 unit of prjljowpik</w:t>
      </w:r>
      <w:r>
        <w:t xml:space="preserve">. The system boundary for this assessment is</w:t>
      </w:r>
      <w:r>
        <w:t xml:space="preserve"> </w:t>
      </w:r>
      <w:r>
        <w:rPr>
          <w:bCs/>
          <w:b/>
        </w:rPr>
        <w:t xml:space="preserve">factory_gate</w:t>
      </w:r>
      <w:r>
        <w:t xml:space="preserve">, encompassing all upstream processes (material extraction, manufacturing of components), and core manufacturing at the dlooirfhjn facility. The geographic scope considers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w:t>
      </w:r>
      <w:r>
        <w:t xml:space="preserve">for upstream material flows. Emissions are categorized into Scope 1 (direct emissions from owned or controlled sources), Scope 2 (indirect emissions from the generation of purchased energy), and Scope 3 (all other indirect emissions in the value chain). Allocation of emissions is based on physical allocation where applicable, primarily by mass for material and transport impacts.</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The lifecycle of prjljowpik has been mapped across key stages, including:</w:t>
      </w:r>
    </w:p>
    <w:p>
      <w:pPr>
        <w:numPr>
          <w:ilvl w:val="1"/>
          <w:numId w:val="1002"/>
        </w:numPr>
        <w:pStyle w:val="Compact"/>
      </w:pPr>
      <w:r>
        <w:rPr>
          <w:bCs/>
          <w:b/>
        </w:rPr>
        <w:t xml:space="preserve">Material Acquisition &amp; Pre-processing:</w:t>
      </w:r>
      <w:r>
        <w:t xml:space="preserve"> </w:t>
      </w:r>
      <w:r>
        <w:t xml:space="preserve">Extraction, processing, and manufacturing of raw materials and components (Scope 3 - Upstream).</w:t>
      </w:r>
    </w:p>
    <w:p>
      <w:pPr>
        <w:numPr>
          <w:ilvl w:val="1"/>
          <w:numId w:val="1002"/>
        </w:numPr>
        <w:pStyle w:val="Compact"/>
      </w:pPr>
      <w:r>
        <w:rPr>
          <w:bCs/>
          <w:b/>
        </w:rPr>
        <w:t xml:space="preserve">Production:</w:t>
      </w:r>
      <w:r>
        <w:t xml:space="preserve"> </w:t>
      </w:r>
      <w:r>
        <w:t xml:space="preserve">Energy consumption and direct emissions during the manufacturing process at dlooirfhjn\'s facility in China (Scope 1 &amp; 2).</w:t>
      </w:r>
    </w:p>
    <w:p>
      <w:pPr>
        <w:numPr>
          <w:ilvl w:val="1"/>
          <w:numId w:val="1002"/>
        </w:numPr>
        <w:pStyle w:val="Compact"/>
      </w:pPr>
      <w:r>
        <w:rPr>
          <w:bCs/>
          <w:b/>
        </w:rPr>
        <w:t xml:space="preserve">Distribution:</w:t>
      </w:r>
      <w:r>
        <w:t xml:space="preserve"> </w:t>
      </w:r>
      <w:r>
        <w:t xml:space="preserve">Transportation of the finished product to the customer (Scope 3 - Downstream).</w:t>
      </w:r>
    </w:p>
    <w:p>
      <w:pPr>
        <w:numPr>
          <w:ilvl w:val="1"/>
          <w:numId w:val="1002"/>
        </w:numPr>
        <w:pStyle w:val="Compact"/>
      </w:pPr>
      <w:r>
        <w:rPr>
          <w:bCs/>
          <w:b/>
        </w:rPr>
        <w:t xml:space="preserve">Use Phase:</w:t>
      </w:r>
      <w:r>
        <w:t xml:space="preserve"> </w:t>
      </w:r>
      <w:r>
        <w:t xml:space="preserve">Energy consumption during the product\'s lifespan by the end-user (Scope 3 - Downstream).</w:t>
      </w:r>
    </w:p>
    <w:p>
      <w:pPr>
        <w:numPr>
          <w:ilvl w:val="1"/>
          <w:numId w:val="1002"/>
        </w:numPr>
        <w:pStyle w:val="Compact"/>
      </w:pPr>
      <w:r>
        <w:rPr>
          <w:bCs/>
          <w:b/>
        </w:rPr>
        <w:t xml:space="preserve">End-of-Life:</w:t>
      </w:r>
      <w:r>
        <w:t xml:space="preserve"> </w:t>
      </w:r>
      <w:r>
        <w:t xml:space="preserve">Disposal or recycling of the product at the end of its functional life (Scope 3 - Downstream).</w:t>
      </w:r>
    </w:p>
    <w:p>
      <w:pPr>
        <w:numPr>
          <w:ilvl w:val="0"/>
          <w:numId w:val="1001"/>
        </w:numPr>
        <w:pStyle w:val="Heading3"/>
      </w:pPr>
      <w:bookmarkStart w:id="25" w:name="collect-data"/>
      <w:r>
        <w:t xml:space="preserve">Collect Data</w:t>
      </w:r>
      <w:bookmarkEnd w:id="25"/>
    </w:p>
    <w:p>
      <w:pPr>
        <w:numPr>
          <w:ilvl w:val="0"/>
          <w:numId w:val="1000"/>
        </w:numPr>
      </w:pPr>
      <w:r>
        <w:t xml:space="preserve">Primary and secondary data points were collected. The Detailed Bill of Materials (BOM) for rumilfng was used for high-accuracy material impact, leveraging the provided Total Carbon values. Specific logistics data, production energy customization, use phase durability, and end-of-life scenarios were incorporated as provided. Industry-standard emission factors from recognized databases (e.g., Ecoinvent/DEFRA equivalents) were used for processes where specific primary data was unavailable or to supplement the provided data.</w:t>
      </w:r>
    </w:p>
    <w:p>
      <w:pPr>
        <w:numPr>
          <w:ilvl w:val="0"/>
          <w:numId w:val="1000"/>
        </w:numPr>
        <w:pStyle w:val="Heading4"/>
      </w:pPr>
      <w:bookmarkStart w:id="26" w:name="Xf747df181853b8bae5def05032f492544e07e46"/>
      <w:r>
        <w:t xml:space="preserve">Detailed Bill of Materials (BOM) Data for rumilfng</w:t>
      </w:r>
      <w:bookmarkEnd w:id="26"/>
    </w:p>
    <w:p>
      <w:pPr>
        <w:numPr>
          <w:ilvl w:val="0"/>
          <w:numId w:val="1000"/>
        </w:numPr>
      </w:pPr>
      <w:r>
        <w:t xml:space="preserve">The following detailed BOM data was used for material impact calculations. The \'Total Carbon\' values were directly applied as per the provided parameters for high accuracy.</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7.2</w:t>
            </w:r>
          </w:p>
        </w:tc>
        <w:tc>
          <w:tcPr/>
          <w:p>
            <w:pPr>
              <w:pStyle w:val="Compact"/>
              <w:jc w:val="left"/>
            </w:pPr>
            <w:r>
              <w:t xml:space="preserve">5.76</w:t>
            </w:r>
          </w:p>
        </w:tc>
      </w:tr>
      <w:tr>
        <w:tc>
          <w:tcPr/>
          <w:p>
            <w:pPr>
              <w:pStyle w:val="Compact"/>
              <w:jc w:val="left"/>
            </w:pPr>
            <w:r>
              <w:t xml:space="preserve">P1</w:t>
            </w:r>
          </w:p>
        </w:tc>
        <w:tc>
          <w:tcPr/>
          <w:p>
            <w:pPr>
              <w:pStyle w:val="Compact"/>
              <w:jc w:val="left"/>
            </w:pPr>
            <w:r>
              <w:t xml:space="preserve">ABS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2.8</w:t>
            </w:r>
          </w:p>
        </w:tc>
        <w:tc>
          <w:tcPr/>
          <w:p>
            <w:pPr>
              <w:pStyle w:val="Compact"/>
              <w:jc w:val="left"/>
            </w:pPr>
            <w:r>
              <w:t xml:space="preserve">0.84</w:t>
            </w:r>
          </w:p>
        </w:tc>
      </w:tr>
      <w:tr>
        <w:tc>
          <w:tcPr/>
          <w:p>
            <w:pPr>
              <w:pStyle w:val="Compact"/>
              <w:jc w:val="left"/>
            </w:pPr>
            <w:r>
              <w:t xml:space="preserve">E1</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0.9</w:t>
            </w:r>
          </w:p>
        </w:tc>
        <w:tc>
          <w:tcPr/>
          <w:p>
            <w:pPr>
              <w:pStyle w:val="Compact"/>
              <w:jc w:val="left"/>
            </w:pPr>
            <w:r>
              <w:t xml:space="preserve">0.90</w:t>
            </w:r>
          </w:p>
        </w:tc>
      </w:tr>
      <w:tr>
        <w:tc>
          <w:tcPr/>
          <w:p>
            <w:pPr>
              <w:pStyle w:val="Compact"/>
              <w:jc w:val="left"/>
            </w:pPr>
            <w:r>
              <w:t xml:space="preserve">C1</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PK1</w:t>
            </w:r>
          </w:p>
        </w:tc>
        <w:tc>
          <w:tcPr/>
          <w:p>
            <w:pPr>
              <w:pStyle w:val="Compact"/>
              <w:jc w:val="left"/>
            </w:pPr>
            <w:r>
              <w:t xml:space="preserve">Recycled Cardboard Box</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S1</w:t>
            </w:r>
          </w:p>
        </w:tc>
        <w:tc>
          <w:tcPr/>
          <w:p>
            <w:pPr>
              <w:pStyle w:val="Compact"/>
              <w:jc w:val="left"/>
            </w:pPr>
            <w:r>
              <w:t xml:space="preserve">Screws and Fasteners</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bl>
    <w:p>
      <w:pPr>
        <w:numPr>
          <w:ilvl w:val="0"/>
          <w:numId w:val="1000"/>
        </w:numPr>
        <w:pStyle w:val="Heading4"/>
      </w:pPr>
      <w:bookmarkStart w:id="27" w:name="energy-inputs-and-customization"/>
      <w:r>
        <w:t xml:space="preserve">Energy Inputs and Customization</w:t>
      </w:r>
      <w:bookmarkEnd w:id="27"/>
    </w:p>
    <w:p>
      <w:pPr>
        <w:numPr>
          <w:ilvl w:val="1"/>
          <w:numId w:val="1003"/>
        </w:numPr>
        <w:pStyle w:val="Compact"/>
      </w:pPr>
      <w:r>
        <w:rPr>
          <w:bCs/>
          <w:b/>
        </w:rPr>
        <w:t xml:space="preserve">Production Energy Intensity:</w:t>
      </w:r>
      <w:r>
        <w:t xml:space="preserve"> </w:t>
      </w:r>
      <w:r>
        <w:t xml:space="preserve">iqhzsehpor kWh/unit</w:t>
      </w:r>
    </w:p>
    <w:p>
      <w:pPr>
        <w:numPr>
          <w:ilvl w:val="1"/>
          <w:numId w:val="1003"/>
        </w:numPr>
        <w:pStyle w:val="Compact"/>
      </w:pPr>
      <w:r>
        <w:rPr>
          <w:bCs/>
          <w:b/>
        </w:rPr>
        <w:t xml:space="preserve">Renewable Energy Usage (Production):</w:t>
      </w:r>
      <w:r>
        <w:t xml:space="preserve"> </w:t>
      </w:r>
      <w:r>
        <w:t xml:space="preserve">xmxqeymeyg%</w:t>
      </w:r>
    </w:p>
    <w:p>
      <w:pPr>
        <w:numPr>
          <w:ilvl w:val="1"/>
          <w:numId w:val="1003"/>
        </w:numPr>
        <w:pStyle w:val="Compact"/>
      </w:pPr>
      <w:r>
        <w:rPr>
          <w:bCs/>
          <w:b/>
        </w:rPr>
        <w:t xml:space="preserve">Energy Consumption in Use Phase:</w:t>
      </w:r>
      <w:r>
        <w:t xml:space="preserve"> </w:t>
      </w:r>
      <w:r>
        <w:t xml:space="preserve">nzpmjnpfen kWh/year</w:t>
      </w:r>
    </w:p>
    <w:p>
      <w:pPr>
        <w:numPr>
          <w:ilvl w:val="1"/>
          <w:numId w:val="1003"/>
        </w:numPr>
        <w:pStyle w:val="Compact"/>
      </w:pPr>
      <w:r>
        <w:rPr>
          <w:bCs/>
          <w:b/>
        </w:rPr>
        <w:t xml:space="preserve">Product Lifespan:</w:t>
      </w:r>
      <w:r>
        <w:t xml:space="preserve"> </w:t>
      </w:r>
      <w:r>
        <w:t xml:space="preserve">djuiosdzff years</w:t>
      </w:r>
    </w:p>
    <w:p>
      <w:pPr>
        <w:numPr>
          <w:ilvl w:val="0"/>
          <w:numId w:val="1000"/>
        </w:numPr>
        <w:pStyle w:val="Heading4"/>
      </w:pPr>
      <w:bookmarkStart w:id="28" w:name="logistics-data"/>
      <w:r>
        <w:t xml:space="preserve">Logistics Data</w:t>
      </w:r>
      <w:bookmarkEnd w:id="28"/>
    </w:p>
    <w:p>
      <w:pPr>
        <w:numPr>
          <w:ilvl w:val="1"/>
          <w:numId w:val="1004"/>
        </w:numPr>
        <w:pStyle w:val="Compact"/>
      </w:pPr>
      <w:r>
        <w:rPr>
          <w:bCs/>
          <w:b/>
        </w:rPr>
        <w:t xml:space="preserve">Inbound Transport Mode:</w:t>
      </w:r>
      <w:r>
        <w:t xml:space="preserve"> </w:t>
      </w:r>
      <w:r>
        <w:t xml:space="preserve">Select Mode (assumed: Road (Truck))</w:t>
      </w:r>
    </w:p>
    <w:p>
      <w:pPr>
        <w:numPr>
          <w:ilvl w:val="1"/>
          <w:numId w:val="1004"/>
        </w:numPr>
        <w:pStyle w:val="Compact"/>
      </w:pPr>
      <w:r>
        <w:rPr>
          <w:bCs/>
          <w:b/>
        </w:rPr>
        <w:t xml:space="preserve">Inbound Transport Distance:</w:t>
      </w:r>
      <w:r>
        <w:t xml:space="preserve"> </w:t>
      </w:r>
      <w:r>
        <w:t xml:space="preserve">foqgfxurur km (e.g., 1500 km)</w:t>
      </w:r>
    </w:p>
    <w:p>
      <w:pPr>
        <w:numPr>
          <w:ilvl w:val="1"/>
          <w:numId w:val="1004"/>
        </w:numPr>
        <w:pStyle w:val="Compact"/>
      </w:pPr>
      <w:r>
        <w:rPr>
          <w:bCs/>
          <w:b/>
        </w:rPr>
        <w:t xml:space="preserve">Last-Mile Delivery Channel:</w:t>
      </w:r>
      <w:r>
        <w:t xml:space="preserve"> </w:t>
      </w:r>
      <w:r>
        <w:t xml:space="preserve">Delivery Type (assumed: Parcel Courier)</w:t>
      </w:r>
    </w:p>
    <w:p>
      <w:pPr>
        <w:numPr>
          <w:ilvl w:val="0"/>
          <w:numId w:val="1000"/>
        </w:numPr>
        <w:pStyle w:val="Heading4"/>
      </w:pPr>
      <w:bookmarkStart w:id="29" w:name="end-of-life-scenarios"/>
      <w:r>
        <w:t xml:space="preserve">End-of-Life Scenarios</w:t>
      </w:r>
      <w:bookmarkEnd w:id="29"/>
    </w:p>
    <w:p>
      <w:pPr>
        <w:numPr>
          <w:ilvl w:val="1"/>
          <w:numId w:val="1005"/>
        </w:numPr>
        <w:pStyle w:val="Compact"/>
      </w:pPr>
      <w:r>
        <w:rPr>
          <w:bCs/>
          <w:b/>
        </w:rPr>
        <w:t xml:space="preserve">Recyclability Percentage:</w:t>
      </w:r>
      <w:r>
        <w:t xml:space="preserve"> </w:t>
      </w:r>
      <w:r>
        <w:t xml:space="preserve">lswztnmosy%</w:t>
      </w:r>
    </w:p>
    <w:p>
      <w:pPr>
        <w:numPr>
          <w:ilvl w:val="1"/>
          <w:numId w:val="1005"/>
        </w:numPr>
        <w:pStyle w:val="Compact"/>
      </w:pPr>
      <w:r>
        <w:rPr>
          <w:bCs/>
          <w:b/>
        </w:rPr>
        <w:t xml:space="preserve">Circular/Take-back Programs:</w:t>
      </w:r>
      <w:r>
        <w:t xml:space="preserve"> </w:t>
      </w:r>
      <w:r>
        <w:t xml:space="preserve">wfwypkoltp</w:t>
      </w:r>
    </w:p>
    <w:p>
      <w:pPr>
        <w:numPr>
          <w:ilvl w:val="0"/>
          <w:numId w:val="1001"/>
        </w:numPr>
        <w:pStyle w:val="Heading3"/>
      </w:pPr>
      <w:bookmarkStart w:id="30" w:name="Xb404f6bea4a0013006ec7a9103609d9ea6643c1"/>
      <w:r>
        <w:t xml:space="preserve">Calculate Emissions (Activity * Emission Factor = CO2e)</w:t>
      </w:r>
      <w:bookmarkEnd w:id="30"/>
    </w:p>
    <w:p>
      <w:pPr>
        <w:numPr>
          <w:ilvl w:val="0"/>
          <w:numId w:val="1000"/>
        </w:numPr>
      </w:pPr>
      <w:r>
        <w:t xml:space="preserve">Emissions were calculated for each life cycle stage.</w:t>
      </w:r>
      <w:r>
        <w:t xml:space="preserve"> </w:t>
      </w:r>
      <w:r>
        <w:t xml:space="preserve">A summary of assumed industry-standard emission factors used for calculation, complementing provided data:</w:t>
      </w:r>
    </w:p>
    <w:p>
      <w:pPr>
        <w:numPr>
          <w:ilvl w:val="1"/>
          <w:numId w:val="1006"/>
        </w:numPr>
        <w:pStyle w:val="Compact"/>
      </w:pPr>
      <w:r>
        <w:t xml:space="preserve">China Electricity Grid Mix (2026 est.): 0.5 kg CO2e/kWh</w:t>
      </w:r>
    </w:p>
    <w:p>
      <w:pPr>
        <w:numPr>
          <w:ilvl w:val="1"/>
          <w:numId w:val="1006"/>
        </w:numPr>
        <w:pStyle w:val="Compact"/>
      </w:pPr>
      <w:r>
        <w:t xml:space="preserve">Renewable Electricity (lifecycle): 0.02 kg CO2e/kWh</w:t>
      </w:r>
    </w:p>
    <w:p>
      <w:pPr>
        <w:numPr>
          <w:ilvl w:val="1"/>
          <w:numId w:val="1006"/>
        </w:numPr>
        <w:pStyle w:val="Compact"/>
      </w:pPr>
      <w:r>
        <w:t xml:space="preserve">Road Transport (Heavy Goods Vehicle, average): 0.08 kg CO2e/tkm</w:t>
      </w:r>
    </w:p>
    <w:p>
      <w:pPr>
        <w:numPr>
          <w:ilvl w:val="1"/>
          <w:numId w:val="1006"/>
        </w:numPr>
        <w:pStyle w:val="Compact"/>
      </w:pPr>
      <w:r>
        <w:t xml:space="preserve">Parcel Courier (per unit, last-mile): 0.23 kg CO2e/delivery</w:t>
      </w:r>
    </w:p>
    <w:p>
      <w:pPr>
        <w:numPr>
          <w:ilvl w:val="1"/>
          <w:numId w:val="1006"/>
        </w:numPr>
        <w:pStyle w:val="Compact"/>
      </w:pPr>
      <w:r>
        <w:t xml:space="preserve">End-of-Life Disposal (Non-recycled to Landfill/Incineration): 1.0 kg CO2e/kg</w:t>
      </w:r>
    </w:p>
    <w:p>
      <w:pPr>
        <w:numPr>
          <w:ilvl w:val="0"/>
          <w:numId w:val="1000"/>
        </w:numPr>
        <w:pStyle w:val="Heading4"/>
      </w:pPr>
      <w:bookmarkStart w:id="31" w:name="X44e22c173b02394a4a763dd20211ef2a3c7cda3"/>
      <w:r>
        <w:t xml:space="preserve">Emissions Breakdown by Scope and Lifecycle Stage</w:t>
      </w:r>
      <w:bookmarkEnd w:id="31"/>
    </w:p>
    <w:p>
      <w:pPr>
        <w:numPr>
          <w:ilvl w:val="0"/>
          <w:numId w:val="1000"/>
        </w:numPr>
      </w:pPr>
      <w:r>
        <w:rPr>
          <w:bCs/>
          <w:b/>
        </w:rPr>
        <w:t xml:space="preserve">Total Product Weight for Transport &amp; EoL:</w:t>
      </w:r>
      <w:r>
        <w:t xml:space="preserve"> </w:t>
      </w:r>
      <w:r>
        <w:t xml:space="preserve">Sum of Qty (kg) from BOM, plus an estimated 0.1 kg for the Circuit Board (PCBA) for transport purposes = 0.8 + 0.3 + 0.15 + 0.2 + 0.05 + 0.1 = 1.6 kg.</w:t>
      </w:r>
    </w:p>
    <w:p>
      <w:pPr>
        <w:numPr>
          <w:ilvl w:val="0"/>
          <w:numId w:val="1000"/>
        </w:numPr>
        <w:pStyle w:val="Heading5"/>
      </w:pPr>
      <w:bookmarkStart w:id="32" w:name="Xd37e6bbc21282ccb84d1a0cb495813bdc0685c3"/>
      <w:r>
        <w:t xml:space="preserve">Scope 3: Upstream Emissions (Value Chain - Materials &amp; Inbound Transport)</w:t>
      </w:r>
      <w:bookmarkEnd w:id="32"/>
    </w:p>
    <w:p>
      <w:pPr>
        <w:numPr>
          <w:ilvl w:val="1"/>
          <w:numId w:val="1007"/>
        </w:numPr>
        <w:pStyle w:val="Compact"/>
      </w:pPr>
      <w:r>
        <w:rPr>
          <w:bCs/>
          <w:b/>
        </w:rPr>
        <w:t xml:space="preserve">Materials Acquisition &amp; Pre-processing:</w:t>
      </w:r>
    </w:p>
    <w:p>
      <w:pPr>
        <w:numPr>
          <w:ilvl w:val="2"/>
          <w:numId w:val="1008"/>
        </w:numPr>
        <w:pStyle w:val="Compact"/>
      </w:pPr>
      <w:r>
        <w:t xml:space="preserve">Total Material CO2e (sum of \'Total Carbon\' from BOM): 5.76 + 0.84 + 0.90 + 1.80 + 0.16 + 0.075 =</w:t>
      </w:r>
      <w:r>
        <w:t xml:space="preserve"> </w:t>
      </w:r>
      <w:r>
        <w:rPr>
          <w:bCs/>
          <w:b/>
        </w:rPr>
        <w:t xml:space="preserve">9.535 kg CO2e</w:t>
      </w:r>
    </w:p>
    <w:p>
      <w:pPr>
        <w:numPr>
          <w:ilvl w:val="1"/>
          <w:numId w:val="1007"/>
        </w:numPr>
        <w:pStyle w:val="Compact"/>
      </w:pPr>
      <w:r>
        <w:rPr>
          <w:bCs/>
          <w:b/>
        </w:rPr>
        <w:t xml:space="preserve">Inbound Logistics (Raw Materials &amp; Components to Factory):</w:t>
      </w:r>
    </w:p>
    <w:p>
      <w:pPr>
        <w:numPr>
          <w:ilvl w:val="2"/>
          <w:numId w:val="1009"/>
        </w:numPr>
        <w:pStyle w:val="Compact"/>
      </w:pPr>
      <w:r>
        <w:t xml:space="preserve">Assumed Transport Mode: Road (Truck)</w:t>
      </w:r>
    </w:p>
    <w:p>
      <w:pPr>
        <w:numPr>
          <w:ilvl w:val="2"/>
          <w:numId w:val="1009"/>
        </w:numPr>
        <w:pStyle w:val="Compact"/>
      </w:pPr>
      <w:r>
        <w:t xml:space="preserve">Assumed Transport Distance: 1500 km</w:t>
      </w:r>
    </w:p>
    <w:p>
      <w:pPr>
        <w:numPr>
          <w:ilvl w:val="2"/>
          <w:numId w:val="1009"/>
        </w:numPr>
        <w:pStyle w:val="Compact"/>
      </w:pPr>
      <w:r>
        <w:t xml:space="preserve">Product Weight: 1.6 kg = 0.0016 tonnes</w:t>
      </w:r>
    </w:p>
    <w:p>
      <w:pPr>
        <w:numPr>
          <w:ilvl w:val="2"/>
          <w:numId w:val="1009"/>
        </w:numPr>
        <w:pStyle w:val="Compact"/>
      </w:pPr>
      <w:r>
        <w:t xml:space="preserve">Inbound Transport Emissions: 0.0016 tonnes * 1500 km * 0.08 kg CO2e/tkm =</w:t>
      </w:r>
      <w:r>
        <w:t xml:space="preserve"> </w:t>
      </w:r>
      <w:r>
        <w:rPr>
          <w:bCs/>
          <w:b/>
        </w:rPr>
        <w:t xml:space="preserve">0.192 kg CO2e</w:t>
      </w:r>
    </w:p>
    <w:p>
      <w:pPr>
        <w:numPr>
          <w:ilvl w:val="1"/>
          <w:numId w:val="1007"/>
        </w:numPr>
        <w:pStyle w:val="Compact"/>
      </w:pPr>
      <w:r>
        <w:rPr>
          <w:bCs/>
          <w:b/>
        </w:rPr>
        <w:t xml:space="preserve">Total Upstream Scope 3 Emissions: 9.535 kg CO2e + 0.192 kg CO2e = 9.727 kg CO2e</w:t>
      </w:r>
    </w:p>
    <w:p>
      <w:pPr>
        <w:numPr>
          <w:ilvl w:val="0"/>
          <w:numId w:val="1000"/>
        </w:numPr>
        <w:pStyle w:val="Heading5"/>
      </w:pPr>
      <w:bookmarkStart w:id="33" w:name="Xb723199ec699a00f8e69a8c739729ec15ed31a7"/>
      <w:r>
        <w:t xml:space="preserve">Scope 2: Purchased Energy Emissions (Production)</w:t>
      </w:r>
      <w:bookmarkEnd w:id="33"/>
    </w:p>
    <w:p>
      <w:pPr>
        <w:numPr>
          <w:ilvl w:val="1"/>
          <w:numId w:val="1010"/>
        </w:numPr>
        <w:pStyle w:val="Compact"/>
      </w:pPr>
      <w:r>
        <w:t xml:space="preserve">Energy Intensity (kWh/unit): 0.7 kWh/unit</w:t>
      </w:r>
    </w:p>
    <w:p>
      <w:pPr>
        <w:numPr>
          <w:ilvl w:val="1"/>
          <w:numId w:val="1010"/>
        </w:numPr>
        <w:pStyle w:val="Compact"/>
      </w:pPr>
      <w:r>
        <w:t xml:space="preserve">Renewable Energy Usage: 50%</w:t>
      </w:r>
    </w:p>
    <w:p>
      <w:pPr>
        <w:numPr>
          <w:ilvl w:val="1"/>
          <w:numId w:val="1010"/>
        </w:numPr>
        <w:pStyle w:val="Compact"/>
      </w:pPr>
      <w:r>
        <w:t xml:space="preserve">Non-renewable electricity for production: 0.7 kWh/unit * (1 - 50/100) = 0.35 kWh/unit</w:t>
      </w:r>
    </w:p>
    <w:p>
      <w:pPr>
        <w:numPr>
          <w:ilvl w:val="1"/>
          <w:numId w:val="1010"/>
        </w:numPr>
        <w:pStyle w:val="Compact"/>
      </w:pPr>
      <w:r>
        <w:t xml:space="preserve">Renewable electricity for production: 0.7 kWh/unit * (50/100) = 0.35 kWh/unit</w:t>
      </w:r>
    </w:p>
    <w:p>
      <w:pPr>
        <w:numPr>
          <w:ilvl w:val="1"/>
          <w:numId w:val="1010"/>
        </w:numPr>
        <w:pStyle w:val="Compact"/>
      </w:pPr>
      <w:r>
        <w:t xml:space="preserve">Emissions from Non-renewable (China Grid): 0.35 kWh/unit * 0.5 kg CO2e/kWh =</w:t>
      </w:r>
      <w:r>
        <w:t xml:space="preserve"> </w:t>
      </w:r>
      <w:r>
        <w:rPr>
          <w:bCs/>
          <w:b/>
        </w:rPr>
        <w:t xml:space="preserve">0.175 kg CO2e</w:t>
      </w:r>
    </w:p>
    <w:p>
      <w:pPr>
        <w:numPr>
          <w:ilvl w:val="1"/>
          <w:numId w:val="1010"/>
        </w:numPr>
        <w:pStyle w:val="Compact"/>
      </w:pPr>
      <w:r>
        <w:t xml:space="preserve">Emissions from Renewable (Lifecycle): 0.35 kWh/unit * 0.02 kg CO2e/kWh =</w:t>
      </w:r>
      <w:r>
        <w:t xml:space="preserve"> </w:t>
      </w:r>
      <w:r>
        <w:rPr>
          <w:bCs/>
          <w:b/>
        </w:rPr>
        <w:t xml:space="preserve">0.007 kg CO2e</w:t>
      </w:r>
    </w:p>
    <w:p>
      <w:pPr>
        <w:numPr>
          <w:ilvl w:val="1"/>
          <w:numId w:val="1010"/>
        </w:numPr>
        <w:pStyle w:val="Compact"/>
      </w:pPr>
      <w:r>
        <w:rPr>
          <w:bCs/>
          <w:b/>
        </w:rPr>
        <w:t xml:space="preserve">Total Scope 2 Emissions: 0.175 kg CO2e + 0.007 kg CO2e = 0.182 kg CO2e</w:t>
      </w:r>
    </w:p>
    <w:p>
      <w:pPr>
        <w:numPr>
          <w:ilvl w:val="0"/>
          <w:numId w:val="1000"/>
        </w:numPr>
        <w:pStyle w:val="Heading5"/>
      </w:pPr>
      <w:bookmarkStart w:id="34" w:name="scope-1-direct-emissions-production"/>
      <w:r>
        <w:t xml:space="preserve">Scope 1: Direct Emissions (Production)</w:t>
      </w:r>
      <w:bookmarkEnd w:id="34"/>
    </w:p>
    <w:p>
      <w:pPr>
        <w:numPr>
          <w:ilvl w:val="0"/>
          <w:numId w:val="1000"/>
        </w:numPr>
      </w:pPr>
      <w:r>
        <w:t xml:space="preserve">Based on the \'factory_gate\' system boundary and the provided parameters, direct emissions from dlooirfhjn\'s owned or controlled sources (e.g., on-site fuel combustion) are assumed to be negligible or covered by the \'Total Carbon\' of processes, as no specific Scope 1 data (e.g., natural gas consumption on-site) was provided.</w:t>
      </w:r>
    </w:p>
    <w:p>
      <w:pPr>
        <w:numPr>
          <w:ilvl w:val="1"/>
          <w:numId w:val="1011"/>
        </w:numPr>
        <w:pStyle w:val="Compact"/>
      </w:pPr>
      <w:r>
        <w:rPr>
          <w:bCs/>
          <w:b/>
        </w:rPr>
        <w:t xml:space="preserve">Total Scope 1 Emissions: 0.00 kg CO2e</w:t>
      </w:r>
      <w:r>
        <w:t xml:space="preserve"> </w:t>
      </w:r>
      <w:r>
        <w:t xml:space="preserve">(Assumed negligible based on available data for \'factory_gate\' boundary).</w:t>
      </w:r>
    </w:p>
    <w:p>
      <w:pPr>
        <w:numPr>
          <w:ilvl w:val="0"/>
          <w:numId w:val="1000"/>
        </w:numPr>
        <w:pStyle w:val="Heading5"/>
      </w:pPr>
      <w:bookmarkStart w:id="35" w:name="Xe69361114cc008a88a6aeee07e98c88f0185a64"/>
      <w:r>
        <w:t xml:space="preserve">Scope 3: Downstream Emissions (Value Chain - Distribution, Use, EoL)</w:t>
      </w:r>
      <w:bookmarkEnd w:id="35"/>
    </w:p>
    <w:p>
      <w:pPr>
        <w:numPr>
          <w:ilvl w:val="1"/>
          <w:numId w:val="1012"/>
        </w:numPr>
        <w:pStyle w:val="Compact"/>
      </w:pPr>
      <w:r>
        <w:rPr>
          <w:bCs/>
          <w:b/>
        </w:rPr>
        <w:t xml:space="preserve">Distribution (Last-Mile Delivery):</w:t>
      </w:r>
    </w:p>
    <w:p>
      <w:pPr>
        <w:numPr>
          <w:ilvl w:val="2"/>
          <w:numId w:val="1013"/>
        </w:numPr>
        <w:pStyle w:val="Compact"/>
      </w:pPr>
      <w:r>
        <w:t xml:space="preserve">Assumed Last-Mile Delivery Channel: Parcel Courier</w:t>
      </w:r>
    </w:p>
    <w:p>
      <w:pPr>
        <w:numPr>
          <w:ilvl w:val="2"/>
          <w:numId w:val="1013"/>
        </w:numPr>
        <w:pStyle w:val="Compact"/>
      </w:pPr>
      <w:r>
        <w:t xml:space="preserve">Last-Mile Delivery Emissions: 1.0 unit * 0.23 kg CO2e/delivery =</w:t>
      </w:r>
      <w:r>
        <w:t xml:space="preserve"> </w:t>
      </w:r>
      <w:r>
        <w:rPr>
          <w:bCs/>
          <w:b/>
        </w:rPr>
        <w:t xml:space="preserve">0.23 kg CO2e</w:t>
      </w:r>
    </w:p>
    <w:p>
      <w:pPr>
        <w:numPr>
          <w:ilvl w:val="1"/>
          <w:numId w:val="1012"/>
        </w:numPr>
        <w:pStyle w:val="Compact"/>
      </w:pPr>
      <w:r>
        <w:rPr>
          <w:bCs/>
          <w:b/>
        </w:rPr>
        <w:t xml:space="preserve">Use Phase:</w:t>
      </w:r>
    </w:p>
    <w:p>
      <w:pPr>
        <w:numPr>
          <w:ilvl w:val="2"/>
          <w:numId w:val="1014"/>
        </w:numPr>
        <w:pStyle w:val="Compact"/>
      </w:pPr>
      <w:r>
        <w:t xml:space="preserve">Product Lifespan: 5 years</w:t>
      </w:r>
    </w:p>
    <w:p>
      <w:pPr>
        <w:numPr>
          <w:ilvl w:val="2"/>
          <w:numId w:val="1014"/>
        </w:numPr>
        <w:pStyle w:val="Compact"/>
      </w:pPr>
      <w:r>
        <w:t xml:space="preserve">Energy Consumption in Use: 10 kWh/year</w:t>
      </w:r>
    </w:p>
    <w:p>
      <w:pPr>
        <w:numPr>
          <w:ilvl w:val="2"/>
          <w:numId w:val="1014"/>
        </w:numPr>
        <w:pStyle w:val="Compact"/>
      </w:pPr>
      <w:r>
        <w:t xml:space="preserve">Total Energy Consumption over lifespan: 10 kWh/year * 5 years = 50 kWh</w:t>
      </w:r>
    </w:p>
    <w:p>
      <w:pPr>
        <w:numPr>
          <w:ilvl w:val="2"/>
          <w:numId w:val="1014"/>
        </w:numPr>
        <w:pStyle w:val="Compact"/>
      </w:pPr>
      <w:r>
        <w:t xml:space="preserve">Use Phase Emissions (assuming China Grid Mix for user electricity): 50 kWh * 0.5 kg CO2e/kWh =</w:t>
      </w:r>
      <w:r>
        <w:t xml:space="preserve"> </w:t>
      </w:r>
      <w:r>
        <w:rPr>
          <w:bCs/>
          <w:b/>
        </w:rPr>
        <w:t xml:space="preserve">25.0 kg CO2e</w:t>
      </w:r>
    </w:p>
    <w:p>
      <w:pPr>
        <w:numPr>
          <w:ilvl w:val="1"/>
          <w:numId w:val="1012"/>
        </w:numPr>
        <w:pStyle w:val="Compact"/>
      </w:pPr>
      <w:r>
        <w:rPr>
          <w:bCs/>
          <w:b/>
        </w:rPr>
        <w:t xml:space="preserve">End-of-Life Treatment:</w:t>
      </w:r>
    </w:p>
    <w:p>
      <w:pPr>
        <w:numPr>
          <w:ilvl w:val="2"/>
          <w:numId w:val="1015"/>
        </w:numPr>
        <w:pStyle w:val="Compact"/>
      </w:pPr>
      <w:r>
        <w:t xml:space="preserve">Recyclability Percentage: 70%</w:t>
      </w:r>
    </w:p>
    <w:p>
      <w:pPr>
        <w:numPr>
          <w:ilvl w:val="2"/>
          <w:numId w:val="1015"/>
        </w:numPr>
        <w:pStyle w:val="Compact"/>
      </w:pPr>
      <w:r>
        <w:t xml:space="preserve">Product Weight: 1.6 kg</w:t>
      </w:r>
    </w:p>
    <w:p>
      <w:pPr>
        <w:numPr>
          <w:ilvl w:val="2"/>
          <w:numId w:val="1015"/>
        </w:numPr>
        <w:pStyle w:val="Compact"/>
      </w:pPr>
      <w:r>
        <w:t xml:space="preserve">Non-recycled portion: 1.6 kg * (1 - 70/100) = 0.48 kg</w:t>
      </w:r>
    </w:p>
    <w:p>
      <w:pPr>
        <w:numPr>
          <w:ilvl w:val="2"/>
          <w:numId w:val="1015"/>
        </w:numPr>
        <w:pStyle w:val="Compact"/>
      </w:pPr>
      <w:r>
        <w:t xml:space="preserve">EoL Disposal Emissions (non-recycled): 0.48 kg * 1.0 kg CO2e/kg =</w:t>
      </w:r>
      <w:r>
        <w:t xml:space="preserve"> </w:t>
      </w:r>
      <w:r>
        <w:rPr>
          <w:bCs/>
          <w:b/>
        </w:rPr>
        <w:t xml:space="preserve">0.48 kg CO2e</w:t>
      </w:r>
    </w:p>
    <w:p>
      <w:pPr>
        <w:numPr>
          <w:ilvl w:val="2"/>
          <w:numId w:val="1015"/>
        </w:numPr>
        <w:pStyle w:val="Compact"/>
      </w:pPr>
      <w:r>
        <w:t xml:space="preserve">Circular/Take-back Programs: Product take-back program available through manufacturer channels, actively promoted to end-users. (This program is expected to reduce actual landfill/incineration rates for the remaining 30% and potentially yield additional recycling benefits or refurbishment, though not explicitly quantified as avoided emissions in this calculation).</w:t>
      </w:r>
    </w:p>
    <w:p>
      <w:pPr>
        <w:numPr>
          <w:ilvl w:val="1"/>
          <w:numId w:val="1012"/>
        </w:numPr>
        <w:pStyle w:val="Compact"/>
      </w:pPr>
      <w:r>
        <w:rPr>
          <w:bCs/>
          <w:b/>
        </w:rPr>
        <w:t xml:space="preserve">Total Downstream Scope 3 Emissions: 0.23 kg CO2e + 25.0 kg CO2e + 0.48 kg CO2e = 25.71 kg CO2e</w:t>
      </w:r>
    </w:p>
    <w:p>
      <w:pPr>
        <w:numPr>
          <w:ilvl w:val="0"/>
          <w:numId w:val="1000"/>
        </w:numPr>
        <w:pStyle w:val="Heading4"/>
      </w:pPr>
      <w:bookmarkStart w:id="36" w:name="X9c12f99beeaaa5aa55954685bb3dca37dc7b574"/>
      <w:r>
        <w:t xml:space="preserve">Summary of Product Carbon Footprint (PCF) for prjljowpik</w:t>
      </w:r>
      <w:bookmarkEnd w:id="36"/>
    </w:p>
    <w:tbl>
      <w:tblPr>
        <w:tblStyle w:val="Table"/>
        <w:tblW w:type="auto" w:w="0"/>
        <w:tblLook w:firstRow="1" w:lastRow="0"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(Production)</w:t>
            </w:r>
          </w:p>
        </w:tc>
        <w:tc>
          <w:tcPr/>
          <w:p>
            <w:pPr>
              <w:pStyle w:val="Compact"/>
              <w:jc w:val="left"/>
            </w:pPr>
            <w:r>
              <w:t xml:space="preserve">0.182</w:t>
            </w:r>
          </w:p>
        </w:tc>
        <w:tc>
          <w:tcPr/>
          <w:p>
            <w:pPr>
              <w:pStyle w:val="Compact"/>
              <w:jc w:val="left"/>
            </w:pPr>
            <w:r>
              <w:t xml:space="preserve">0.66%</w:t>
            </w:r>
          </w:p>
        </w:tc>
      </w:tr>
      <w:tr>
        <w:tc>
          <w:tcPr>
            <w:vMerge w:val="restart"/>
          </w:tcPr>
          <w:p>
            <w:pPr>
              <w:pStyle w:val="Compact"/>
              <w:jc w:val="left"/>
            </w:pPr>
            <w:r>
              <w:t xml:space="preserve">Scope 3</w:t>
            </w:r>
          </w:p>
        </w:tc>
        <w:tc>
          <w:tcPr/>
          <w:p>
            <w:pPr>
              <w:pStyle w:val="Compact"/>
              <w:jc w:val="left"/>
            </w:pPr>
            <w:r>
              <w:t xml:space="preserve">Upstream: Materials Acquisition &amp; Pre-processing</w:t>
            </w:r>
          </w:p>
        </w:tc>
        <w:tc>
          <w:tcPr/>
          <w:p>
            <w:pPr>
              <w:pStyle w:val="Compact"/>
              <w:jc w:val="left"/>
            </w:pPr>
            <w:r>
              <w:t xml:space="preserve">9.535</w:t>
            </w:r>
          </w:p>
        </w:tc>
        <w:tc>
          <w:tcPr/>
          <w:p>
            <w:pPr>
              <w:pStyle w:val="Compact"/>
              <w:jc w:val="left"/>
            </w:pPr>
            <w:r>
              <w:t xml:space="preserve">34.46%</w:t>
            </w:r>
          </w:p>
        </w:tc>
      </w:tr>
      <w:tr>
        <w:tc>
          <w:tcPr>
            <w:gridSpan w:val="1"/>
            <w:vMerge w:val="continue"/>
          </w:tcPr>
          <w:p>
            <w:pPr/>
          </w:p>
        </w:tc>
        <w:tc>
          <w:tcPr/>
          <w:p>
            <w:pPr>
              <w:pStyle w:val="Compact"/>
              <w:jc w:val="left"/>
            </w:pPr>
            <w:r>
              <w:t xml:space="preserve">Upstream: Inbound Logistics</w:t>
            </w:r>
          </w:p>
        </w:tc>
        <w:tc>
          <w:tcPr/>
          <w:p>
            <w:pPr>
              <w:pStyle w:val="Compact"/>
              <w:jc w:val="left"/>
            </w:pPr>
            <w:r>
              <w:t xml:space="preserve">0.192</w:t>
            </w:r>
          </w:p>
        </w:tc>
        <w:tc>
          <w:tcPr/>
          <w:p>
            <w:pPr>
              <w:pStyle w:val="Compact"/>
              <w:jc w:val="left"/>
            </w:pPr>
            <w:r>
              <w:t xml:space="preserve">0.69%</w:t>
            </w:r>
          </w:p>
        </w:tc>
      </w:tr>
      <w:tr>
        <w:tc>
          <w:tcPr>
            <w:gridSpan w:val="1"/>
            <w:vMerge w:val="continue"/>
          </w:tcPr>
          <w:p>
            <w:pPr/>
          </w:p>
        </w:tc>
        <w:tc>
          <w:tcPr/>
          <w:p>
            <w:pPr>
              <w:pStyle w:val="Compact"/>
              <w:jc w:val="left"/>
            </w:pPr>
            <w:r>
              <w:t xml:space="preserve">Downstream: Distribution (Last-Mile)</w:t>
            </w:r>
          </w:p>
        </w:tc>
        <w:tc>
          <w:tcPr/>
          <w:p>
            <w:pPr>
              <w:pStyle w:val="Compact"/>
              <w:jc w:val="left"/>
            </w:pPr>
            <w:r>
              <w:t xml:space="preserve">0.230</w:t>
            </w:r>
          </w:p>
        </w:tc>
        <w:tc>
          <w:tcPr/>
          <w:p>
            <w:pPr>
              <w:pStyle w:val="Compact"/>
              <w:jc w:val="left"/>
            </w:pPr>
            <w:r>
              <w:t xml:space="preserve">0.83%</w:t>
            </w:r>
          </w:p>
        </w:tc>
      </w:tr>
      <w:tr>
        <w:tc>
          <w:tcPr>
            <w:gridSpan w:val="1"/>
            <w:vMerge w:val="continue"/>
          </w:tcPr>
          <w:p>
            <w:pPr/>
          </w:p>
        </w:tc>
        <w:tc>
          <w:tcPr/>
          <w:p>
            <w:pPr>
              <w:pStyle w:val="Compact"/>
              <w:jc w:val="left"/>
            </w:pPr>
            <w:r>
              <w:t xml:space="preserve">Downstream: Use Phase</w:t>
            </w:r>
          </w:p>
        </w:tc>
        <w:tc>
          <w:tcPr/>
          <w:p>
            <w:pPr>
              <w:pStyle w:val="Compact"/>
              <w:jc w:val="left"/>
            </w:pPr>
            <w:r>
              <w:t xml:space="preserve">25.000</w:t>
            </w:r>
          </w:p>
        </w:tc>
        <w:tc>
          <w:tcPr/>
          <w:p>
            <w:pPr>
              <w:pStyle w:val="Compact"/>
              <w:jc w:val="left"/>
            </w:pPr>
            <w:r>
              <w:t xml:space="preserve">63.95%</w:t>
            </w:r>
          </w:p>
        </w:tc>
      </w:tr>
      <w:tr>
        <w:tc>
          <w:tcPr/>
          <w:p>
            <w:pPr>
              <w:pStyle w:val="Compact"/>
            </w:pPr>
          </w:p>
        </w:tc>
        <w:tc>
          <w:tcPr/>
          <w:p>
            <w:pPr>
              <w:pStyle w:val="Compact"/>
              <w:jc w:val="left"/>
            </w:pPr>
            <w:r>
              <w:t xml:space="preserve">Downstream: End-of-Life Treatment</w:t>
            </w:r>
          </w:p>
        </w:tc>
        <w:tc>
          <w:tcPr/>
          <w:p>
            <w:pPr>
              <w:pStyle w:val="Compact"/>
              <w:jc w:val="left"/>
            </w:pPr>
            <w:r>
              <w:t xml:space="preserve">0.480</w:t>
            </w:r>
          </w:p>
        </w:tc>
        <w:tc>
          <w:tcPr/>
          <w:p>
            <w:pPr>
              <w:pStyle w:val="Compact"/>
              <w:jc w:val="left"/>
            </w:pPr>
            <w:r>
              <w:t xml:space="preserve">1.73%</w:t>
            </w:r>
          </w:p>
        </w:tc>
      </w:tr>
      <w:tr>
        <w:tc>
          <w:tcPr>
            <w:gridSpan w:val="2"/>
          </w:tcPr>
          <w:p>
            <w:pPr>
              <w:pStyle w:val="Compact"/>
              <w:jc w:val="left"/>
            </w:pPr>
            <w:r>
              <w:t xml:space="preserve">Total Product Carbon Footprint (PCF)</w:t>
            </w:r>
          </w:p>
        </w:tc>
        <w:tc>
          <w:tcPr/>
          <w:p>
            <w:pPr>
              <w:pStyle w:val="Compact"/>
              <w:jc w:val="left"/>
            </w:pPr>
            <w:r>
              <w:t xml:space="preserve">35.619 kg CO2e</w:t>
            </w:r>
          </w:p>
        </w:tc>
        <w:tc>
          <w:tcPr/>
          <w:p>
            <w:pPr>
              <w:pStyle w:val="Compact"/>
              <w:jc w:val="left"/>
            </w:pPr>
            <w:r>
              <w:t xml:space="preserve">100.00%</w:t>
            </w:r>
          </w:p>
        </w:tc>
      </w:tr>
    </w:tbl>
    <w:p>
      <w:pPr>
        <w:numPr>
          <w:ilvl w:val="0"/>
          <w:numId w:val="1000"/>
        </w:numPr>
      </w:pPr>
      <w:r>
        <w:rPr>
          <w:iCs/>
          <w:i/>
        </w:rPr>
        <w:t xml:space="preserve">Note: Minor discrepancies in percentages may occur due to rounding.</w:t>
      </w:r>
    </w:p>
    <w:p>
      <w:pPr>
        <w:numPr>
          <w:ilvl w:val="0"/>
          <w:numId w:val="1001"/>
        </w:numPr>
        <w:pStyle w:val="Heading3"/>
      </w:pPr>
      <w:bookmarkStart w:id="37" w:name="review-report"/>
      <w:r>
        <w:t xml:space="preserve">Review &amp; Report</w:t>
      </w:r>
      <w:bookmarkEnd w:id="37"/>
    </w:p>
    <w:p>
      <w:pPr>
        <w:numPr>
          <w:ilvl w:val="0"/>
          <w:numId w:val="1000"/>
        </w:numPr>
        <w:pStyle w:val="Heading4"/>
      </w:pPr>
      <w:bookmarkStart w:id="38" w:name="hotspots-analysis"/>
      <w:r>
        <w:t xml:space="preserve">Hotspots Analysis</w:t>
      </w:r>
      <w:bookmarkEnd w:id="38"/>
    </w:p>
    <w:p>
      <w:pPr>
        <w:numPr>
          <w:ilvl w:val="0"/>
          <w:numId w:val="1000"/>
        </w:numPr>
      </w:pPr>
      <w:r>
        <w:t xml:space="preserve">The primary emission hotspot for prjljowpik is clearly the</w:t>
      </w:r>
      <w:r>
        <w:t xml:space="preserve"> </w:t>
      </w:r>
      <w:r>
        <w:rPr>
          <w:bCs/>
          <w:b/>
        </w:rPr>
        <w:t xml:space="preserve">Use Phase</w:t>
      </w:r>
      <w:r>
        <w:t xml:space="preserve">, accounting for approximately 63.95% of the total PCF. This is driven by the product\'s energy consumption over its 5-year lifespan. The second most significant hotspot is</w:t>
      </w:r>
      <w:r>
        <w:t xml:space="preserve"> </w:t>
      </w:r>
      <w:r>
        <w:rPr>
          <w:bCs/>
          <w:b/>
        </w:rPr>
        <w:t xml:space="preserve">Materials Acquisition &amp; Pre-processing</w:t>
      </w:r>
      <w:r>
        <w:t xml:space="preserve"> </w:t>
      </w:r>
      <w:r>
        <w:t xml:space="preserve">(34.46%), highlighting the high embedded emissions in the raw materials and components, particularly the Aluminum Frame and Lithium-ion Battery.</w:t>
      </w:r>
    </w:p>
    <w:p>
      <w:pPr>
        <w:numPr>
          <w:ilvl w:val="0"/>
          <w:numId w:val="1000"/>
        </w:numPr>
        <w:pStyle w:val="Heading4"/>
      </w:pPr>
      <w:bookmarkStart w:id="39" w:name="reliability-2026-ghg-protocol-updates"/>
      <w:r>
        <w:t xml:space="preserve">Reliability &amp; 2026 GHG Protocol Updates</w:t>
      </w:r>
      <w:bookmarkEnd w:id="39"/>
    </w:p>
    <w:p>
      <w:pPr>
        <w:numPr>
          <w:ilvl w:val="0"/>
          <w:numId w:val="1000"/>
        </w:numPr>
      </w:pPr>
      <w:r>
        <w:t xml:space="preserve">The calculations in this report are based on a combination of specific primary data (BOM \'Total Carbon\', energy usage, transport distance, lifespan) and industry-standard secondary emission factors (e.g., Ecoinvent/DEFRA equivalents). The data provided for `rumilfng`, `foqgfxurur`, `xmxqeymeyg`, `iqhzsehpor`, `djuiosdzff`, `nzpmjnpfen`, and `lswztnmosy` has been directly incorporated to enhance accuracy.</w:t>
      </w:r>
    </w:p>
    <w:p>
      <w:pPr>
        <w:numPr>
          <w:ilvl w:val="0"/>
          <w:numId w:val="1000"/>
        </w:numPr>
      </w:pPr>
      <w:r>
        <w:rPr>
          <w:bCs/>
          <w:b/>
        </w:rPr>
        <w:t xml:space="preserve">GHG Protocol 2026 LSR Update:</w:t>
      </w:r>
      <w:r>
        <w:t xml:space="preserve"> </w:t>
      </w:r>
      <w:r>
        <w:t xml:space="preserve">The Land Sector and Removals (LSR) Standard, effective January 1, 2027, aims to provide comprehensive guidance for accounting for land-based emissions and removals. While this analysis for \'prjljowpik\' (an industrial product) does not involve direct land use emissions from operations or land use change, the LSR Standard\'s principles are relevant for upstream material sourcing, particularly if agricultural products or bio-based materials were involved. Future iterations of this analysis should integrate specific LSR data if the supply chain has significant land-sector activities. The standard focuses on companies that own/control land, or purchase/sell agricultural products.</w:t>
      </w:r>
    </w:p>
    <w:p>
      <w:pPr>
        <w:numPr>
          <w:ilvl w:val="0"/>
          <w:numId w:val="1000"/>
        </w:numPr>
      </w:pPr>
      <w:r>
        <w:rPr>
          <w:bCs/>
          <w:b/>
        </w:rPr>
        <w:t xml:space="preserve">Scope 3 Compliance (2026 Requirements):</w:t>
      </w:r>
      <w:r>
        <w:t xml:space="preserve"> </w:t>
      </w:r>
      <w:r>
        <w:t xml:space="preserve">The GHG Protocol\'s 2026 updates propose a mandatory</w:t>
      </w:r>
      <w:r>
        <w:t xml:space="preserve"> </w:t>
      </w:r>
      <w:r>
        <w:rPr>
          <w:bCs/>
          <w:b/>
        </w:rPr>
        <w:t xml:space="preserve">95% coverage rule for total relevant Scope 3 emissions</w:t>
      </w:r>
      <w:r>
        <w:t xml:space="preserve"> </w:t>
      </w:r>
      <w:r>
        <w:t xml:space="preserve">to claim conformance. This report strives for comprehensive Scope 3 coverage by including all significant upstream (materials, inbound transport) and downstream (distribution, use phase, end-of-life) categories. While some minor elements might rely on broader industry averages, the major emission sources are quantified, aiming to meet or exceed this 95% threshold. The data disaggregation requirement is addressed by clearly detailing material types and energy sources.</w:t>
      </w:r>
    </w:p>
    <w:p>
      <w:r>
        <w:pict>
          <v:rect style="width:0;height:1.5pt" o:hralign="center" o:hrstd="t" o:hr="t"/>
        </w:pict>
      </w:r>
    </w:p>
    <w:bookmarkEnd w:id="40"/>
    <w:bookmarkStart w:id="41" w:name="recommendations-for-emission-reduction"/>
    <w:p>
      <w:pPr>
        <w:pStyle w:val="Heading2"/>
      </w:pPr>
      <w:r>
        <w:t xml:space="preserve">Recommendations for Emission Reduction</w:t>
      </w:r>
    </w:p>
    <w:p>
      <w:pPr>
        <w:numPr>
          <w:ilvl w:val="0"/>
          <w:numId w:val="1016"/>
        </w:numPr>
        <w:pStyle w:val="Compact"/>
      </w:pPr>
      <w:r>
        <w:rPr>
          <w:bCs/>
          <w:b/>
        </w:rPr>
        <w:t xml:space="preserve">Optimize Use Phase:</w:t>
      </w:r>
      <w:r>
        <w:t xml:space="preserve"> </w:t>
      </w:r>
      <w:r>
        <w:t xml:space="preserve">Given the dominance of use phase emissions, focus on improving the energy efficiency of prjljowpik. This could involve exploring lower-power components, advanced power management features, or extending product lifespan through modular design and repairability.</w:t>
      </w:r>
    </w:p>
    <w:p>
      <w:pPr>
        <w:numPr>
          <w:ilvl w:val="0"/>
          <w:numId w:val="1016"/>
        </w:numPr>
        <w:pStyle w:val="Compact"/>
      </w:pPr>
      <w:r>
        <w:rPr>
          <w:bCs/>
          <w:b/>
        </w:rPr>
        <w:t xml:space="preserve">Material Decarbonization:</w:t>
      </w:r>
      <w:r>
        <w:t xml:space="preserve"> </w:t>
      </w:r>
      <w:r>
        <w:t xml:space="preserve">Engage with suppliers to source lower-carbon aluminum, plastics, and battery components. Explore recycled content for the aluminum frame and ABS casing beyond current levels where feasible.</w:t>
      </w:r>
    </w:p>
    <w:p>
      <w:pPr>
        <w:numPr>
          <w:ilvl w:val="0"/>
          <w:numId w:val="1016"/>
        </w:numPr>
        <w:pStyle w:val="Compact"/>
      </w:pPr>
      <w:r>
        <w:rPr>
          <w:bCs/>
          <w:b/>
        </w:rPr>
        <w:t xml:space="preserve">Enhance Circularity:</w:t>
      </w:r>
      <w:r>
        <w:t xml:space="preserve"> </w:t>
      </w:r>
      <w:r>
        <w:t xml:space="preserve">Leverage and expand the existing \'wfwypkoltp\' circular/take-back program. Promote refurbishment and reuse initiatives to reduce the quantity of products entering end-of-life disposal, thus extending the product\'s effective lifespan beyond the initial 5 years and mitigating disposal emissions. Increase the recyclability percentage beyond lswztnmosy% by design changes or better end-of-life processing.</w:t>
      </w:r>
    </w:p>
    <w:p>
      <w:pPr>
        <w:numPr>
          <w:ilvl w:val="0"/>
          <w:numId w:val="1016"/>
        </w:numPr>
        <w:pStyle w:val="Compact"/>
      </w:pPr>
      <w:r>
        <w:rPr>
          <w:bCs/>
          <w:b/>
        </w:rPr>
        <w:t xml:space="preserve">Renewable Energy Adoption:</w:t>
      </w:r>
      <w:r>
        <w:t xml:space="preserve"> </w:t>
      </w:r>
      <w:r>
        <w:t xml:space="preserve">Further increase renewable energy usage in the production facility in China beyond xmxqeymeyg%. Encourage suppliers within the European-focused supply chain to adopt renewable energy sources.</w:t>
      </w:r>
    </w:p>
    <w:p>
      <w:pPr>
        <w:numPr>
          <w:ilvl w:val="0"/>
          <w:numId w:val="1016"/>
        </w:numPr>
        <w:pStyle w:val="Compact"/>
      </w:pPr>
      <w:r>
        <w:rPr>
          <w:bCs/>
          <w:b/>
        </w:rPr>
        <w:t xml:space="preserve">Logistics Optimization:</w:t>
      </w:r>
      <w:r>
        <w:t xml:space="preserve"> </w:t>
      </w:r>
      <w:r>
        <w:t xml:space="preserve">Continuously seek efficiencies in inbound and outbound logistics, exploring alternative transport modes with lower emission factors (e.g., rail for longer distances) or optimizing load factors.</w:t>
      </w:r>
    </w:p>
    <w:p>
      <w:pPr>
        <w:pStyle w:val="FirstParagraph"/>
      </w:pPr>
      <w:r>
        <w:t xml:space="preserve">Confidential - Internal Use Only</w:t>
      </w:r>
    </w:p>
    <w:p>
      <w:pPr>
        <w:pStyle w:val="BodyText"/>
      </w:pPr>
      <w:r>
        <w:t xml:space="preserve">© 2026 dlooirfhjn. All rights reserved.</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prjljowpik</dc:title>
  <dc:creator/>
  <dc:description>High-detail Product Carbon Footprint (PCF) analysis report for prjljowpik, conducted by Senior Sustainability Consultant gxlmrsuqsl, adhering to GHG Protocol and 2026 updates.</dc:description>
  <dc:language>en</dc:language>
  <cp:keywords/>
  <dcterms:created xsi:type="dcterms:W3CDTF">2026-05-30T22:04:29Z</dcterms:created>
  <dcterms:modified xsi:type="dcterms:W3CDTF">2026-05-30T22:04:29Z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