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pqxjignfez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pqxjignfez</w:t>
      </w:r>
    </w:p>
    <w:p>
      <w:pPr>
        <w:pStyle w:val="BodyText"/>
      </w:pPr>
      <w:r>
        <w:t xml:space="preserve">Company Name: gfzdomvivd</w:t>
      </w:r>
    </w:p>
    <w:p>
      <w:pPr>
        <w:pStyle w:val="BodyText"/>
      </w:pPr>
      <w:r>
        <w:t xml:space="preserve">Senior Sustainability Consultant: uoxvdlovlg</w:t>
      </w:r>
    </w:p>
    <w:p>
      <w:pPr>
        <w:pStyle w:val="BodyText"/>
      </w:pPr>
      <w:r>
        <w:t xml:space="preserve">Accounting Standard: GHG Protocol</w:t>
      </w:r>
    </w:p>
    <w:p>
      <w:pPr>
        <w:pStyle w:val="BodyText"/>
      </w:pPr>
      <w:r>
        <w:t xml:space="preserve">Disclaimer: This report is generated based on available data, stated assumptions, and industry standards. While efforts have been made to ensure accuracy, actual emissions may vary based on real-world conditions and primary data availability.</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pqxjignfez</w:t>
      </w:r>
      <w:r>
        <w:t xml:space="preserve">, manufactured by</w:t>
      </w:r>
      <w:r>
        <w:t xml:space="preserve"> </w:t>
      </w:r>
      <w:r>
        <w:rPr>
          <w:bCs/>
          <w:b/>
        </w:rPr>
        <w:t xml:space="preserve">gfzdomvivd</w:t>
      </w:r>
      <w:r>
        <w:t xml:space="preserve">. The analysis, conducted by Senior Sustainability Consultant</w:t>
      </w:r>
      <w:r>
        <w:t xml:space="preserve"> </w:t>
      </w:r>
      <w:r>
        <w:rPr>
          <w:bCs/>
          <w:b/>
        </w:rPr>
        <w:t xml:space="preserve">uoxvdlovlg</w:t>
      </w:r>
      <w:r>
        <w:t xml:space="preserve">, adheres to the Greenhouse Gas (GHG) Protocol standards, incorporating the latest 2026 Land Sector and Removals (LSR) Standard update and stringent Scope 3 compliance requirements. The total estimated cradle-to-grave carbon footprint for one functional unit of pqxjignfez is</w:t>
      </w:r>
      <w:r>
        <w:t xml:space="preserve"> </w:t>
      </w:r>
      <w:r>
        <w:rPr>
          <w:bCs/>
          <w:b/>
        </w:rPr>
        <w:t xml:space="preserve">[Calculated Total PCF] kg CO₂e</w:t>
      </w:r>
      <w:r>
        <w:t xml:space="preserve">.</w:t>
      </w:r>
    </w:p>
    <w:p>
      <w:pPr>
        <w:pStyle w:val="BodyText"/>
      </w:pPr>
      <w:r>
        <w:t xml:space="preserve">Key findings highlight significant emission contributions from material acquisition and the use phase, driven by the product\'s lifespan and energy consumption. This analysis provides actionable insights for gfzdomvivd to identify emission hotspots and develop targeted decarbonization strategies.</w:t>
      </w:r>
    </w:p>
    <w:p>
      <w:r>
        <w:pict>
          <v:rect style="width:0;height:1.5pt" o:hralign="center" o:hrstd="t" o:hr="t"/>
        </w:pict>
      </w:r>
    </w:p>
    <w:bookmarkEnd w:id="21"/>
    <w:bookmarkStart w:id="24" w:name="methodology"/>
    <w:p>
      <w:pPr>
        <w:pStyle w:val="Heading2"/>
      </w:pPr>
      <w:r>
        <w:t xml:space="preserve">2. Methodology</w:t>
      </w:r>
    </w:p>
    <w:p>
      <w:pPr>
        <w:pStyle w:val="FirstParagraph"/>
      </w:pPr>
      <w:r>
        <w:t xml:space="preserve">The Product Carbon Footprint (PCF) analysis for pqxjignfez follows the five-step methodology prescribed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emissions), Scope 2 (purchased energy emissions), and Scope 3 (value chain emissions), ensuring comprehensive coverage as per GHG Protocol requirements. The 2026 Land Sector and Removals (LSR) Standard and the enhanced 95% coverage for Scope 3 reporting are acknowledged and applied where relevant, noting the current draft status of some 2026 revisions.</w:t>
      </w:r>
    </w:p>
    <w:bookmarkStart w:id="22" w:name="step-1-define-scope"/>
    <w:p>
      <w:pPr>
        <w:pStyle w:val="Heading3"/>
      </w:pPr>
      <w:r>
        <w:t xml:space="preserve">2.1. Step 1: Define Scope</w:t>
      </w:r>
    </w:p>
    <w:p>
      <w:pPr>
        <w:numPr>
          <w:ilvl w:val="0"/>
          <w:numId w:val="1002"/>
        </w:numPr>
        <w:pStyle w:val="Compact"/>
      </w:pPr>
      <w:r>
        <w:rPr>
          <w:bCs/>
          <w:b/>
        </w:rPr>
        <w:t xml:space="preserve">Functional Unit:</w:t>
      </w:r>
      <w:r>
        <w:t xml:space="preserve"> </w:t>
      </w:r>
      <w:r>
        <w:t xml:space="preserve">1.0 unit of pqxjignfez.</w:t>
      </w:r>
    </w:p>
    <w:p>
      <w:pPr>
        <w:numPr>
          <w:ilvl w:val="0"/>
          <w:numId w:val="1002"/>
        </w:numPr>
        <w:pStyle w:val="Compact"/>
      </w:pPr>
      <w:r>
        <w:rPr>
          <w:bCs/>
          <w:b/>
        </w:rPr>
        <w:t xml:space="preserve">System Boundary:</w:t>
      </w:r>
      <w:r>
        <w:t xml:space="preserve"> </w:t>
      </w:r>
      <w:r>
        <w:t xml:space="preserve">The analysis adopts a "Cradle-to-Grave" system boundary. While the initial focus was "factory_gate" for production, the comprehensive nature of the request, including use-phase and end-of-life scenarios, necessitates an extension to cover the entire product lifecycle from raw material extraction to end-of-life disposal.</w:t>
      </w:r>
    </w:p>
    <w:p>
      <w:pPr>
        <w:numPr>
          <w:ilvl w:val="0"/>
          <w:numId w:val="1002"/>
        </w:numPr>
        <w:pStyle w:val="Compact"/>
      </w:pPr>
      <w:r>
        <w:rPr>
          <w:bCs/>
          <w:b/>
        </w:rPr>
        <w:t xml:space="preserve">Geographic Scope:</w:t>
      </w:r>
      <w:r>
        <w:t xml:space="preserve"> </w:t>
      </w:r>
      <w:r>
        <w:t xml:space="preserve">Final production occurs in China, with a supply chain focus on Europe for raw material sourcing.</w:t>
      </w:r>
    </w:p>
    <w:p>
      <w:pPr>
        <w:numPr>
          <w:ilvl w:val="0"/>
          <w:numId w:val="1002"/>
        </w:numPr>
        <w:pStyle w:val="Compact"/>
      </w:pPr>
      <w:r>
        <w:rPr>
          <w:bCs/>
          <w:b/>
        </w:rPr>
        <w:t xml:space="preserve">Allocation:</w:t>
      </w:r>
      <w:r>
        <w:t xml:space="preserve"> </w:t>
      </w:r>
      <w:r>
        <w:t xml:space="preserve">Emissions are allocated directly to the functional unit based on mass and energy consumption, as per GHG Protocol guidelines for co-products where applicable.</w:t>
      </w:r>
    </w:p>
    <w:p>
      <w:pPr>
        <w:numPr>
          <w:ilvl w:val="0"/>
          <w:numId w:val="1002"/>
        </w:numPr>
        <w:pStyle w:val="Compact"/>
      </w:pPr>
      <w:r>
        <w:rPr>
          <w:bCs/>
          <w:b/>
        </w:rPr>
        <w:t xml:space="preserve">Accounting Standard:</w:t>
      </w:r>
      <w:r>
        <w:t xml:space="preserve"> </w:t>
      </w:r>
      <w:r>
        <w:t xml:space="preserve">GHG Protocol, specifically the Product Life Cycle Accounting and Reporting Standard.</w:t>
      </w:r>
    </w:p>
    <w:bookmarkEnd w:id="22"/>
    <w:bookmarkStart w:id="23" w:name="Xef2cad8b6715bfd9664e6ec6d96ac44c4a46fb4"/>
    <w:p>
      <w:pPr>
        <w:pStyle w:val="Heading3"/>
      </w:pPr>
      <w:r>
        <w:t xml:space="preserve">2.2. Step 2: Map Lifecycle (LCI Inventory Stages)</w:t>
      </w:r>
    </w:p>
    <w:p>
      <w:pPr>
        <w:pStyle w:val="FirstParagraph"/>
      </w:pPr>
      <w:r>
        <w:t xml:space="preserve">The lifecycle of pqxjignfez is mapped across five distinct stages:</w:t>
      </w:r>
    </w:p>
    <w:p>
      <w:pPr>
        <w:numPr>
          <w:ilvl w:val="0"/>
          <w:numId w:val="1003"/>
        </w:numPr>
        <w:pStyle w:val="Compact"/>
      </w:pPr>
      <w:r>
        <w:rPr>
          <w:bCs/>
          <w:b/>
        </w:rPr>
        <w:t xml:space="preserve">Material Acquisition &amp; Pre-processing (Scope 3, Category 1):</w:t>
      </w:r>
      <w:r>
        <w:t xml:space="preserve"> </w:t>
      </w:r>
      <w:r>
        <w:t xml:space="preserve">This stage includes the extraction, processing, and manufacturing of all raw materials detailed in the Bill of Materials (BOM).</w:t>
      </w:r>
    </w:p>
    <w:p>
      <w:pPr>
        <w:numPr>
          <w:ilvl w:val="0"/>
          <w:numId w:val="1003"/>
        </w:numPr>
        <w:pStyle w:val="Compact"/>
      </w:pPr>
      <w:r>
        <w:rPr>
          <w:bCs/>
          <w:b/>
        </w:rPr>
        <w:t xml:space="preserve">Manufacturing (Scope 1, 2, 3):</w:t>
      </w:r>
      <w:r>
        <w:t xml:space="preserve"> </w:t>
      </w:r>
      <w:r>
        <w:t xml:space="preserve">Covers energy consumption (electricity, direct fuel) and process emissions at the gfzdomvivd production facility in China.</w:t>
      </w:r>
    </w:p>
    <w:p>
      <w:pPr>
        <w:numPr>
          <w:ilvl w:val="0"/>
          <w:numId w:val="1003"/>
        </w:numPr>
        <w:pStyle w:val="Compact"/>
      </w:pPr>
      <w:r>
        <w:rPr>
          <w:bCs/>
          <w:b/>
        </w:rPr>
        <w:t xml:space="preserve">Transport &amp; Distribution (Scope 3, Category 4 &amp; 9):</w:t>
      </w:r>
      <w:r>
        <w:t xml:space="preserve"> </w:t>
      </w:r>
      <w:r>
        <w:t xml:space="preserve">Encompasses inbound logistics of raw materials from Europe to China, outbound transport of finished products within China, and last-mile delivery to the end-user.</w:t>
      </w:r>
    </w:p>
    <w:p>
      <w:pPr>
        <w:numPr>
          <w:ilvl w:val="0"/>
          <w:numId w:val="1003"/>
        </w:numPr>
        <w:pStyle w:val="Compact"/>
      </w:pPr>
      <w:r>
        <w:rPr>
          <w:bCs/>
          <w:b/>
        </w:rPr>
        <w:t xml:space="preserve">Use Phase (Scope 3, Category 11):</w:t>
      </w:r>
      <w:r>
        <w:t xml:space="preserve"> </w:t>
      </w:r>
      <w:r>
        <w:t xml:space="preserve">Accounts for energy consumed during the typical lifespan of the product by the end-user.</w:t>
      </w:r>
    </w:p>
    <w:p>
      <w:pPr>
        <w:numPr>
          <w:ilvl w:val="0"/>
          <w:numId w:val="1003"/>
        </w:numPr>
        <w:pStyle w:val="Compact"/>
      </w:pPr>
      <w:r>
        <w:rPr>
          <w:bCs/>
          <w:b/>
        </w:rPr>
        <w:t xml:space="preserve">End-of-Life (EoL) Treatment (Scope 3, Category 12):</w:t>
      </w:r>
      <w:r>
        <w:t xml:space="preserve"> </w:t>
      </w:r>
      <w:r>
        <w:t xml:space="preserve">Addresses emissions and potential credits from disposal (landfill) and recycling processes.</w:t>
      </w:r>
    </w:p>
    <w:p>
      <w:r>
        <w:pict>
          <v:rect style="width:0;height:1.5pt" o:hralign="center" o:hrstd="t" o:hr="t"/>
        </w:pict>
      </w:r>
    </w:p>
    <w:bookmarkEnd w:id="23"/>
    <w:bookmarkEnd w:id="24"/>
    <w:bookmarkStart w:id="30" w:name="data-collection-and-assumptions"/>
    <w:p>
      <w:pPr>
        <w:pStyle w:val="Heading2"/>
      </w:pPr>
      <w:r>
        <w:t xml:space="preserve">3. Data Collection and Assumptions</w:t>
      </w:r>
    </w:p>
    <w:p>
      <w:pPr>
        <w:pStyle w:val="FirstParagraph"/>
      </w:pPr>
      <w:r>
        <w:t xml:space="preserve">This analysis utilizes a combination of provided parameters, illustrative data for placeholders, and industry-standard emission factors. All assumptions are explicitly stated for transparency.</w:t>
      </w:r>
    </w:p>
    <w:bookmarkStart w:id="25" w:name="Xa14e02f7852c5fb56dc2aa2688de4d20ba8c555"/>
    <w:p>
      <w:pPr>
        <w:pStyle w:val="Heading3"/>
      </w:pPr>
      <w:r>
        <w:t xml:space="preserve">3.1. Detailed Bill of Materials (BOM) - ydvkjwon (Illustrative Data)</w:t>
      </w:r>
    </w:p>
    <w:p>
      <w:pPr>
        <w:pStyle w:val="FirstParagraph"/>
      </w:pPr>
      <w:r>
        <w:t xml:space="preserve">The provided BOM string "ydvkjwon" is a placeholder. For this high-detail analysis, the following illustrative BOM data has been constructed, representing typical components of a small electronic device. Emission factors are sourced from general industry databases (e.g., Ecoinvent, DEFRA, Climatiq) and adjusted for the China production context where possible.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(kgCO₂e/kg)</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 (China)</w:t>
            </w:r>
          </w:p>
        </w:tc>
        <w:tc>
          <w:tcPr/>
          <w:p>
            <w:pPr>
              <w:pStyle w:val="Compact"/>
              <w:jc w:val="left"/>
            </w:pPr>
            <w:r>
              <w:t xml:space="preserve">1.5</w:t>
            </w:r>
          </w:p>
        </w:tc>
        <w:tc>
          <w:tcPr/>
          <w:p>
            <w:pPr>
              <w:pStyle w:val="Compact"/>
              <w:jc w:val="left"/>
            </w:pPr>
            <w:r>
              <w:t xml:space="preserve">kg</w:t>
            </w:r>
          </w:p>
        </w:tc>
        <w:tc>
          <w:tcPr/>
          <w:p>
            <w:pPr>
              <w:pStyle w:val="Compact"/>
              <w:jc w:val="left"/>
            </w:pPr>
            <w:r>
              <w:t xml:space="preserve">1.5</w:t>
            </w:r>
            <w:r>
              <w:t xml:space="preserve"> </w:t>
            </w:r>
          </w:p>
        </w:tc>
        <w:tc>
          <w:tcPr/>
          <w:p>
            <w:pPr>
              <w:pStyle w:val="Compact"/>
              <w:jc w:val="left"/>
            </w:pPr>
            <w:r>
              <w:t xml:space="preserve">2.25</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Molding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3.125</w:t>
            </w:r>
            <w:r>
              <w:t xml:space="preserve"> </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 (China)</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4"/>
          </w:tcPr>
          <w:p>
            <w:pPr>
              <w:pStyle w:val="Compact"/>
              <w:jc w:val="right"/>
            </w:pPr>
            <w:r>
              <w:rPr>
                <w:bCs/>
                <w:b/>
              </w:rPr>
              <w:t xml:space="preserve">Total Product Mass:</w:t>
            </w:r>
          </w:p>
        </w:tc>
        <w:tc>
          <w:tcPr/>
          <w:p>
            <w:pPr>
              <w:pStyle w:val="Compact"/>
              <w:jc w:val="left"/>
            </w:pPr>
            <w:r>
              <w:rPr>
                <w:bCs/>
                <w:b/>
              </w:rPr>
              <w:t xml:space="preserve">2.65 kg</w:t>
            </w:r>
          </w:p>
        </w:tc>
        <w:tc>
          <w:tcPr>
            <w:gridSpan w:val="2"/>
          </w:tcPr>
          <w:p>
            <w:pPr>
              <w:pStyle w:val="Compact"/>
            </w:pPr>
          </w:p>
        </w:tc>
        <w:tc>
          <w:tcPr/>
          <w:p>
            <w:pPr>
              <w:pStyle w:val="Compact"/>
              <w:jc w:val="left"/>
            </w:pPr>
            <w:r>
              <w:rPr>
                <w:bCs/>
                <w:b/>
              </w:rPr>
              <w:t xml:space="preserve">7.00 kgCO₂e</w:t>
            </w:r>
          </w:p>
        </w:tc>
      </w:tr>
    </w:tbl>
    <w:bookmarkEnd w:id="25"/>
    <w:bookmarkStart w:id="26" w:name="energy-inputs-for-production"/>
    <w:p>
      <w:pPr>
        <w:pStyle w:val="Heading3"/>
      </w:pPr>
      <w:r>
        <w:t xml:space="preserve">3.2. Energy Inputs for Production</w:t>
      </w:r>
    </w:p>
    <w:p>
      <w:pPr>
        <w:numPr>
          <w:ilvl w:val="0"/>
          <w:numId w:val="1004"/>
        </w:numPr>
        <w:pStyle w:val="Compact"/>
      </w:pPr>
      <w:r>
        <w:rPr>
          <w:bCs/>
          <w:b/>
        </w:rPr>
        <w:t xml:space="preserve">Energy Intensity (kWh/unit):</w:t>
      </w:r>
      <w:r>
        <w:t xml:space="preserve"> </w:t>
      </w:r>
      <w:r>
        <w:t xml:space="preserve">oruxgmznnn = 15 kWh/unit.</w:t>
      </w:r>
    </w:p>
    <w:p>
      <w:pPr>
        <w:numPr>
          <w:ilvl w:val="0"/>
          <w:numId w:val="1004"/>
        </w:numPr>
        <w:pStyle w:val="Compact"/>
      </w:pPr>
      <w:r>
        <w:rPr>
          <w:bCs/>
          <w:b/>
        </w:rPr>
        <w:t xml:space="preserve">Renewable Energy Usage:</w:t>
      </w:r>
      <w:r>
        <w:t xml:space="preserve"> </w:t>
      </w:r>
      <w:r>
        <w:t xml:space="preserve">knnvduipiv = 70% of purchased electricity.</w:t>
      </w:r>
    </w:p>
    <w:p>
      <w:pPr>
        <w:numPr>
          <w:ilvl w:val="0"/>
          <w:numId w:val="1004"/>
        </w:numPr>
        <w:pStyle w:val="Compact"/>
      </w:pPr>
      <w:r>
        <w:rPr>
          <w:bCs/>
          <w:b/>
        </w:rPr>
        <w:t xml:space="preserve">China Grid Electricity Emission Factor:</w:t>
      </w:r>
      <w:r>
        <w:t xml:space="preserve"> </w:t>
      </w:r>
      <w:r>
        <w:t xml:space="preserve">0.6 kgCO₂e/kWh</w:t>
      </w:r>
      <w:r>
        <w:t xml:space="preserve"> </w:t>
      </w:r>
      <w:r>
        <w:t xml:space="preserve">. This factor is applied to the non-renewable portion of purchased electricity.</w:t>
      </w:r>
    </w:p>
    <w:p>
      <w:pPr>
        <w:numPr>
          <w:ilvl w:val="0"/>
          <w:numId w:val="1004"/>
        </w:numPr>
        <w:pStyle w:val="Compact"/>
      </w:pPr>
      <w:r>
        <w:rPr>
          <w:bCs/>
          <w:b/>
        </w:rPr>
        <w:t xml:space="preserve">Effective Electricity EF for Manufacturing:</w:t>
      </w:r>
      <w:r>
        <w:t xml:space="preserve"> </w:t>
      </w:r>
      <w:r>
        <w:t xml:space="preserve">0.6 kgCO₂e/kWh * (1 - 0.70) = 0.18 kgCO₂e/kWh.</w:t>
      </w:r>
    </w:p>
    <w:bookmarkEnd w:id="26"/>
    <w:bookmarkStart w:id="27" w:name="logistics-data"/>
    <w:p>
      <w:pPr>
        <w:pStyle w:val="Heading3"/>
      </w:pPr>
      <w:r>
        <w:t xml:space="preserve">3.3. Logistics Data</w:t>
      </w:r>
    </w:p>
    <w:p>
      <w:pPr>
        <w:numPr>
          <w:ilvl w:val="0"/>
          <w:numId w:val="1005"/>
        </w:numPr>
        <w:pStyle w:val="Compact"/>
      </w:pPr>
      <w:r>
        <w:rPr>
          <w:bCs/>
          <w:b/>
        </w:rPr>
        <w:t xml:space="preserve">Transport Mode (Inbound):</w:t>
      </w:r>
      <w:r>
        <w:t xml:space="preserve"> </w:t>
      </w:r>
      <w:r>
        <w:t xml:space="preserve">Road freight (heavy duty truck).</w:t>
      </w:r>
    </w:p>
    <w:p>
      <w:pPr>
        <w:numPr>
          <w:ilvl w:val="0"/>
          <w:numId w:val="1005"/>
        </w:numPr>
        <w:pStyle w:val="Compact"/>
      </w:pPr>
      <w:r>
        <w:rPr>
          <w:bCs/>
          <w:b/>
        </w:rPr>
        <w:t xml:space="preserve">Transport Distance (Inbound):</w:t>
      </w:r>
      <w:r>
        <w:t xml:space="preserve"> </w:t>
      </w:r>
      <w:r>
        <w:t xml:space="preserve">jsfywwjojz = 5000 km (Europe to China).</w:t>
      </w:r>
    </w:p>
    <w:p>
      <w:pPr>
        <w:numPr>
          <w:ilvl w:val="0"/>
          <w:numId w:val="1005"/>
        </w:numPr>
        <w:pStyle w:val="Compact"/>
      </w:pPr>
      <w:r>
        <w:rPr>
          <w:bCs/>
          <w:b/>
        </w:rPr>
        <w:t xml:space="preserve">Road Freight Emission Factor:</w:t>
      </w:r>
      <w:r>
        <w:t xml:space="preserve"> </w:t>
      </w:r>
      <w:r>
        <w:t xml:space="preserve">0.09 kgCO₂e/tonne-km</w:t>
      </w:r>
      <w:r>
        <w:t xml:space="preserve"> </w:t>
      </w:r>
      <w:r>
        <w:t xml:space="preserve">.</w:t>
      </w:r>
    </w:p>
    <w:p>
      <w:pPr>
        <w:numPr>
          <w:ilvl w:val="0"/>
          <w:numId w:val="1005"/>
        </w:numPr>
        <w:pStyle w:val="Compact"/>
      </w:pPr>
      <w:r>
        <w:rPr>
          <w:bCs/>
          <w:b/>
        </w:rPr>
        <w:t xml:space="preserve">Transport Mode (Outbound - Distribution):</w:t>
      </w:r>
      <w:r>
        <w:t xml:space="preserve"> </w:t>
      </w:r>
      <w:r>
        <w:t xml:space="preserve">Road freight (heavy duty truck).</w:t>
      </w:r>
    </w:p>
    <w:p>
      <w:pPr>
        <w:numPr>
          <w:ilvl w:val="0"/>
          <w:numId w:val="1005"/>
        </w:numPr>
        <w:pStyle w:val="Compact"/>
      </w:pPr>
      <w:r>
        <w:rPr>
          <w:bCs/>
          <w:b/>
        </w:rPr>
        <w:t xml:space="preserve">Transport Distance (Outbound - Distribution):</w:t>
      </w:r>
      <w:r>
        <w:t xml:space="preserve"> </w:t>
      </w:r>
      <w:r>
        <w:t xml:space="preserve">500 km (within China).</w:t>
      </w:r>
    </w:p>
    <w:p>
      <w:pPr>
        <w:numPr>
          <w:ilvl w:val="0"/>
          <w:numId w:val="1005"/>
        </w:numPr>
        <w:pStyle w:val="Compact"/>
      </w:pPr>
      <w:r>
        <w:rPr>
          <w:bCs/>
          <w:b/>
        </w:rPr>
        <w:t xml:space="preserve">Last-Mile Delivery Channel:</w:t>
      </w:r>
      <w:r>
        <w:t xml:space="preserve"> </w:t>
      </w:r>
      <w:r>
        <w:t xml:space="preserve">Delivery Type = Van delivery (diesel).</w:t>
      </w:r>
    </w:p>
    <w:p>
      <w:pPr>
        <w:numPr>
          <w:ilvl w:val="0"/>
          <w:numId w:val="1005"/>
        </w:numPr>
        <w:pStyle w:val="Compact"/>
      </w:pPr>
      <w:r>
        <w:rPr>
          <w:bCs/>
          <w:b/>
        </w:rPr>
        <w:t xml:space="preserve">Transport Distance (Last-Mile):</w:t>
      </w:r>
      <w:r>
        <w:t xml:space="preserve"> </w:t>
      </w:r>
      <w:r>
        <w:t xml:space="preserve">50 km (per unit).</w:t>
      </w:r>
    </w:p>
    <w:p>
      <w:pPr>
        <w:numPr>
          <w:ilvl w:val="0"/>
          <w:numId w:val="1005"/>
        </w:numPr>
        <w:pStyle w:val="Compact"/>
      </w:pPr>
      <w:r>
        <w:rPr>
          <w:bCs/>
          <w:b/>
        </w:rPr>
        <w:t xml:space="preserve">Van Delivery Emission Factor:</w:t>
      </w:r>
      <w:r>
        <w:t xml:space="preserve"> </w:t>
      </w:r>
      <w:r>
        <w:t xml:space="preserve">0.25 kgCO₂e/km</w:t>
      </w:r>
      <w:r>
        <w:t xml:space="preserve"> </w:t>
      </w:r>
      <w:r>
        <w:t xml:space="preserve">. Assuming average van load capacity of 500 units for this product, the per-unit factor is 0.25 kgCO₂e/km / 500 units = 0.0005 kgCO₂e/unit-km.</w:t>
      </w:r>
    </w:p>
    <w:bookmarkEnd w:id="27"/>
    <w:bookmarkStart w:id="28"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zvzlxfplky = 5 years.</w:t>
      </w:r>
    </w:p>
    <w:p>
      <w:pPr>
        <w:numPr>
          <w:ilvl w:val="0"/>
          <w:numId w:val="1006"/>
        </w:numPr>
        <w:pStyle w:val="Compact"/>
      </w:pPr>
      <w:r>
        <w:rPr>
          <w:bCs/>
          <w:b/>
        </w:rPr>
        <w:t xml:space="preserve">Energy Consumption in Use:</w:t>
      </w:r>
      <w:r>
        <w:t xml:space="preserve"> </w:t>
      </w:r>
      <w:r>
        <w:t xml:space="preserve">fvfzlevlyz = 10 kWh/year.</w:t>
      </w:r>
    </w:p>
    <w:p>
      <w:pPr>
        <w:numPr>
          <w:ilvl w:val="0"/>
          <w:numId w:val="1006"/>
        </w:numPr>
        <w:pStyle w:val="Compact"/>
      </w:pPr>
      <w:r>
        <w:rPr>
          <w:bCs/>
          <w:b/>
        </w:rPr>
        <w:t xml:space="preserve">Electricity Emission Factor (Consumer Use - China Grid Mix):</w:t>
      </w:r>
      <w:r>
        <w:t xml:space="preserve"> </w:t>
      </w:r>
      <w:r>
        <w:t xml:space="preserve">0.6 kgCO₂e/kWh</w:t>
      </w:r>
      <w:r>
        <w:t xml:space="preserve"> </w:t>
      </w:r>
      <w:r>
        <w:t xml:space="preserve"> </w:t>
      </w:r>
      <w:r>
        <w:t xml:space="preserve">(assuming average grid mix for end-user, not necessarily gfzdomvivd\'s renewable mix).</w:t>
      </w:r>
    </w:p>
    <w:bookmarkEnd w:id="28"/>
    <w:bookmarkStart w:id="29"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pfkxdmzuek = 80%.</w:t>
      </w:r>
    </w:p>
    <w:p>
      <w:pPr>
        <w:numPr>
          <w:ilvl w:val="0"/>
          <w:numId w:val="1007"/>
        </w:numPr>
        <w:pStyle w:val="Compact"/>
      </w:pPr>
      <w:r>
        <w:rPr>
          <w:bCs/>
          <w:b/>
        </w:rPr>
        <w:t xml:space="preserve">Circular/Take-back Programs:</w:t>
      </w:r>
      <w:r>
        <w:t xml:space="preserve"> </w:t>
      </w:r>
      <w:r>
        <w:t xml:space="preserve">xodwzlkmlu = Yes, established program. This supports the higher recyclability percentage.</w:t>
      </w:r>
    </w:p>
    <w:p>
      <w:pPr>
        <w:numPr>
          <w:ilvl w:val="0"/>
          <w:numId w:val="1007"/>
        </w:numPr>
        <w:pStyle w:val="Compact"/>
      </w:pPr>
      <w:r>
        <w:rPr>
          <w:bCs/>
          <w:b/>
        </w:rPr>
        <w:t xml:space="preserve">Landfill Emission Factor (for un-recycled content):</w:t>
      </w:r>
      <w:r>
        <w:t xml:space="preserve"> </w:t>
      </w:r>
      <w:r>
        <w:t xml:space="preserve">0.3 kgCO₂e/kg</w:t>
      </w:r>
      <w:r>
        <w:t xml:space="preserve"> </w:t>
      </w:r>
      <w:r>
        <w:t xml:space="preserve">.</w:t>
      </w:r>
    </w:p>
    <w:p>
      <w:pPr>
        <w:numPr>
          <w:ilvl w:val="0"/>
          <w:numId w:val="1007"/>
        </w:numPr>
        <w:pStyle w:val="Compact"/>
      </w:pPr>
      <w:r>
        <w:rPr>
          <w:bCs/>
          <w:b/>
        </w:rPr>
        <w:t xml:space="preserve">Recycling Credit (for recycled content):</w:t>
      </w:r>
      <w:r>
        <w:t xml:space="preserve"> </w:t>
      </w:r>
      <w:r>
        <w:t xml:space="preserve">-1.0 kgCO₂e/kg (illustrative, for avoided virgin material production).</w:t>
      </w:r>
    </w:p>
    <w:p>
      <w:r>
        <w:pict>
          <v:rect style="width:0;height:1.5pt" o:hralign="center" o:hrstd="t" o:hr="t"/>
        </w:pict>
      </w:r>
    </w:p>
    <w:bookmarkEnd w:id="29"/>
    <w:bookmarkEnd w:id="30"/>
    <w:bookmarkStart w:id="37" w:name="Xe156f3a774124d90821f5a9dd2a33dd50db36e7"/>
    <w:p>
      <w:pPr>
        <w:pStyle w:val="Heading2"/>
      </w:pPr>
      <w:r>
        <w:t xml:space="preserve">4. Calculate Emissions (Activity * Emission Factor = CO₂e)</w:t>
      </w:r>
    </w:p>
    <w:p>
      <w:pPr>
        <w:pStyle w:val="FirstParagraph"/>
      </w:pPr>
      <w:r>
        <w:t xml:space="preserve">This section details the calculation of greenhouse gas emissions across each lifecycle stage, categorized by GHG Protocol scopes.</w:t>
      </w:r>
    </w:p>
    <w:bookmarkStart w:id="31" w:name="X5fba48d7b85b1fc1d0080a72f3bcf6c0594fa3b"/>
    <w:p>
      <w:pPr>
        <w:pStyle w:val="Heading3"/>
      </w:pPr>
      <w:r>
        <w:t xml:space="preserve">4.1. Material Acquisition &amp; Pre-processing (Scope 3, Category 1: Purchased Goods and Services)</w:t>
      </w:r>
    </w:p>
    <w:p>
      <w:pPr>
        <w:pStyle w:val="FirstParagraph"/>
      </w:pPr>
      <w:r>
        <w:t xml:space="preserve">Emissions from raw material production are directly taken from the illustrative BOM (Section 3.1).</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Material Acquisition</w:t>
            </w:r>
          </w:p>
        </w:tc>
        <w:tc>
          <w:tcPr/>
          <w:p>
            <w:pPr>
              <w:pStyle w:val="Compact"/>
              <w:jc w:val="left"/>
            </w:pPr>
            <w:r>
              <w:t xml:space="preserve">Total from BOM</w:t>
            </w:r>
          </w:p>
        </w:tc>
        <w:tc>
          <w:tcPr/>
          <w:p>
            <w:pPr>
              <w:pStyle w:val="Compact"/>
              <w:jc w:val="left"/>
            </w:pPr>
            <w:r>
              <w:t xml:space="preserve">N/A (embedded)</w:t>
            </w:r>
          </w:p>
        </w:tc>
        <w:tc>
          <w:tcPr/>
          <w:p>
            <w:pPr>
              <w:pStyle w:val="Compact"/>
              <w:jc w:val="left"/>
            </w:pPr>
            <w:r>
              <w:t xml:space="preserve">Scope 3, Category 1</w:t>
            </w:r>
          </w:p>
        </w:tc>
        <w:tc>
          <w:tcPr/>
          <w:p>
            <w:pPr>
              <w:pStyle w:val="Compact"/>
              <w:jc w:val="left"/>
            </w:pPr>
            <w:r>
              <w:t xml:space="preserve">7.00</w:t>
            </w:r>
          </w:p>
        </w:tc>
      </w:tr>
    </w:tbl>
    <w:bookmarkEnd w:id="31"/>
    <w:bookmarkStart w:id="32" w:name="X1453f6888f164b3e78ee7af223e8d05455a3eba"/>
    <w:p>
      <w:pPr>
        <w:pStyle w:val="Heading3"/>
      </w:pPr>
      <w:r>
        <w:t xml:space="preserve">4.2. Manufacturing (Scope 1: Direct Emissions, Scope 2: Purchased Electricity, Scope 3: Upstream Fuel)</w:t>
      </w:r>
    </w:p>
    <w:p>
      <w:pPr>
        <w:pStyle w:val="FirstParagraph"/>
      </w:pPr>
      <w:r>
        <w:t xml:space="preserve">Assuming no significant direct (Scope 1) emissions from on-site fuel combustion for the manufacturing process beyond electricity generation if not purchased externally. Therefore, manufacturing emissions primarily fall under Scope 2.</w:t>
      </w:r>
    </w:p>
    <w:p>
      <w:pPr>
        <w:numPr>
          <w:ilvl w:val="0"/>
          <w:numId w:val="1008"/>
        </w:numPr>
        <w:pStyle w:val="Compact"/>
      </w:pPr>
      <w:r>
        <w:t xml:space="preserve">Energy Consumption: 15 kWh/unit</w:t>
      </w:r>
    </w:p>
    <w:p>
      <w:pPr>
        <w:numPr>
          <w:ilvl w:val="0"/>
          <w:numId w:val="1008"/>
        </w:numPr>
        <w:pStyle w:val="Compact"/>
      </w:pPr>
      <w:r>
        <w:t xml:space="preserve">Effective Electricity EF: 0.18 kgCO₂e/kWh (70% renewable usage)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Manufacturing (Electricity)</w:t>
            </w:r>
          </w:p>
        </w:tc>
        <w:tc>
          <w:tcPr/>
          <w:p>
            <w:pPr>
              <w:pStyle w:val="Compact"/>
              <w:jc w:val="left"/>
            </w:pPr>
            <w:r>
              <w:t xml:space="preserve">15 kWh/unit</w:t>
            </w:r>
          </w:p>
        </w:tc>
        <w:tc>
          <w:tcPr/>
          <w:p>
            <w:pPr>
              <w:pStyle w:val="Compact"/>
              <w:jc w:val="left"/>
            </w:pPr>
            <w:r>
              <w:t xml:space="preserve">0.18 kgCO₂e/kWh</w:t>
            </w:r>
          </w:p>
        </w:tc>
        <w:tc>
          <w:tcPr/>
          <w:p>
            <w:pPr>
              <w:pStyle w:val="Compact"/>
              <w:jc w:val="left"/>
            </w:pPr>
            <w:r>
              <w:t xml:space="preserve">Scope 2</w:t>
            </w:r>
          </w:p>
        </w:tc>
        <w:tc>
          <w:tcPr/>
          <w:p>
            <w:pPr>
              <w:pStyle w:val="Compact"/>
              <w:jc w:val="left"/>
            </w:pPr>
            <w:r>
              <w:t xml:space="preserve">2.70</w:t>
            </w:r>
          </w:p>
        </w:tc>
      </w:tr>
    </w:tbl>
    <w:bookmarkEnd w:id="32"/>
    <w:bookmarkStart w:id="33" w:name="X7da020c0ad5959a5ff8c6e8c8986d77dcb20c36"/>
    <w:p>
      <w:pPr>
        <w:pStyle w:val="Heading3"/>
      </w:pPr>
      <w:r>
        <w:t xml:space="preserve">4.3. Transport &amp; Distribution (Scope 3, Category 4: Upstream Transportation and Distribution &amp; Category 9: Downstream Transportation and Distribution)</w:t>
      </w:r>
    </w:p>
    <w:p>
      <w:pPr>
        <w:pStyle w:val="FirstParagraph"/>
      </w:pPr>
      <w:r>
        <w:t xml:space="preserve">Total product mass for transport calculations is assumed to be 2.65 kg (from BOM).</w:t>
      </w:r>
    </w:p>
    <w:p>
      <w:pPr>
        <w:numPr>
          <w:ilvl w:val="0"/>
          <w:numId w:val="1009"/>
        </w:numPr>
        <w:pStyle w:val="Compact"/>
      </w:pPr>
      <w:r>
        <w:rPr>
          <w:bCs/>
          <w:b/>
        </w:rPr>
        <w:t xml:space="preserve">Inbound Logistics:</w:t>
      </w:r>
    </w:p>
    <w:p>
      <w:pPr>
        <w:numPr>
          <w:ilvl w:val="1"/>
          <w:numId w:val="1010"/>
        </w:numPr>
        <w:pStyle w:val="Compact"/>
      </w:pPr>
      <w:r>
        <w:t xml:space="preserve">Mass: 2.65 kg = 0.00265 tonnes</w:t>
      </w:r>
    </w:p>
    <w:p>
      <w:pPr>
        <w:numPr>
          <w:ilvl w:val="1"/>
          <w:numId w:val="1010"/>
        </w:numPr>
        <w:pStyle w:val="Compact"/>
      </w:pPr>
      <w:r>
        <w:t xml:space="preserve">Distance: 5000 km</w:t>
      </w:r>
    </w:p>
    <w:p>
      <w:pPr>
        <w:numPr>
          <w:ilvl w:val="1"/>
          <w:numId w:val="1010"/>
        </w:numPr>
        <w:pStyle w:val="Compact"/>
      </w:pPr>
      <w:r>
        <w:t xml:space="preserve">EF: 0.09 kgCO₂e/tonne-km</w:t>
      </w:r>
      <w:r>
        <w:t xml:space="preserve"> </w:t>
      </w:r>
    </w:p>
    <w:p>
      <w:pPr>
        <w:numPr>
          <w:ilvl w:val="1"/>
          <w:numId w:val="1010"/>
        </w:numPr>
        <w:pStyle w:val="Compact"/>
      </w:pPr>
      <w:r>
        <w:t xml:space="preserve">Emissions: 0.00265 t * 5000 km * 0.09 kgCO₂e/tkm = 1.19 kgCO₂e</w:t>
      </w:r>
    </w:p>
    <w:p>
      <w:pPr>
        <w:numPr>
          <w:ilvl w:val="0"/>
          <w:numId w:val="1009"/>
        </w:numPr>
        <w:pStyle w:val="Compact"/>
      </w:pPr>
      <w:r>
        <w:rPr>
          <w:bCs/>
          <w:b/>
        </w:rPr>
        <w:t xml:space="preserve">Outbound Logistics (Distribution):</w:t>
      </w:r>
    </w:p>
    <w:p>
      <w:pPr>
        <w:numPr>
          <w:ilvl w:val="1"/>
          <w:numId w:val="1011"/>
        </w:numPr>
        <w:pStyle w:val="Compact"/>
      </w:pPr>
      <w:r>
        <w:t xml:space="preserve">Mass: 2.65 kg = 0.00265 tonnes</w:t>
      </w:r>
    </w:p>
    <w:p>
      <w:pPr>
        <w:numPr>
          <w:ilvl w:val="1"/>
          <w:numId w:val="1011"/>
        </w:numPr>
        <w:pStyle w:val="Compact"/>
      </w:pPr>
      <w:r>
        <w:t xml:space="preserve">Distance: 500 km</w:t>
      </w:r>
    </w:p>
    <w:p>
      <w:pPr>
        <w:numPr>
          <w:ilvl w:val="1"/>
          <w:numId w:val="1011"/>
        </w:numPr>
        <w:pStyle w:val="Compact"/>
      </w:pPr>
      <w:r>
        <w:t xml:space="preserve">EF: 0.09 kgCO₂e/tonne-km</w:t>
      </w:r>
      <w:r>
        <w:t xml:space="preserve"> </w:t>
      </w:r>
    </w:p>
    <w:p>
      <w:pPr>
        <w:numPr>
          <w:ilvl w:val="1"/>
          <w:numId w:val="1011"/>
        </w:numPr>
        <w:pStyle w:val="Compact"/>
      </w:pPr>
      <w:r>
        <w:t xml:space="preserve">Emissions: 0.00265 t * 500 km * 0.09 kgCO₂e/tkm = 0.12 kgCO₂e</w:t>
      </w:r>
    </w:p>
    <w:p>
      <w:pPr>
        <w:numPr>
          <w:ilvl w:val="0"/>
          <w:numId w:val="1009"/>
        </w:numPr>
        <w:pStyle w:val="Compact"/>
      </w:pPr>
      <w:r>
        <w:rPr>
          <w:bCs/>
          <w:b/>
        </w:rPr>
        <w:t xml:space="preserve">Last-Mile Delivery:</w:t>
      </w:r>
    </w:p>
    <w:p>
      <w:pPr>
        <w:numPr>
          <w:ilvl w:val="1"/>
          <w:numId w:val="1012"/>
        </w:numPr>
        <w:pStyle w:val="Compact"/>
      </w:pPr>
      <w:r>
        <w:t xml:space="preserve">Distance: 50 km/unit</w:t>
      </w:r>
    </w:p>
    <w:p>
      <w:pPr>
        <w:numPr>
          <w:ilvl w:val="1"/>
          <w:numId w:val="1012"/>
        </w:numPr>
        <w:pStyle w:val="Compact"/>
      </w:pPr>
      <w:r>
        <w:t xml:space="preserve">EF: 0.0005 kgCO₂e/unit-km (derived from 0.25 kgCO₂e/km for van / 500 units)</w:t>
      </w:r>
    </w:p>
    <w:p>
      <w:pPr>
        <w:numPr>
          <w:ilvl w:val="1"/>
          <w:numId w:val="1012"/>
        </w:numPr>
        <w:pStyle w:val="Compact"/>
      </w:pPr>
      <w:r>
        <w:t xml:space="preserve">Emissions: 50 km/unit * 0.0005 kgCO₂e/unit-km = 0.025 kgCO₂e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Inbound Transport</w:t>
            </w:r>
          </w:p>
        </w:tc>
        <w:tc>
          <w:tcPr/>
          <w:p>
            <w:pPr>
              <w:pStyle w:val="Compact"/>
              <w:jc w:val="left"/>
            </w:pPr>
            <w:r>
              <w:t xml:space="preserve">0.00265 t * 5000 km</w:t>
            </w:r>
          </w:p>
        </w:tc>
        <w:tc>
          <w:tcPr/>
          <w:p>
            <w:pPr>
              <w:pStyle w:val="Compact"/>
              <w:jc w:val="left"/>
            </w:pPr>
            <w:r>
              <w:t xml:space="preserve">0.09 kgCO₂e/tkm</w:t>
            </w:r>
          </w:p>
        </w:tc>
        <w:tc>
          <w:tcPr/>
          <w:p>
            <w:pPr>
              <w:pStyle w:val="Compact"/>
              <w:jc w:val="left"/>
            </w:pPr>
            <w:r>
              <w:t xml:space="preserve">Scope 3, Category 4</w:t>
            </w:r>
          </w:p>
        </w:tc>
        <w:tc>
          <w:tcPr/>
          <w:p>
            <w:pPr>
              <w:pStyle w:val="Compact"/>
              <w:jc w:val="left"/>
            </w:pPr>
            <w:r>
              <w:t xml:space="preserve">1.19</w:t>
            </w:r>
          </w:p>
        </w:tc>
      </w:tr>
      <w:tr>
        <w:tc>
          <w:tcPr/>
          <w:p>
            <w:pPr>
              <w:pStyle w:val="Compact"/>
              <w:jc w:val="left"/>
            </w:pPr>
            <w:r>
              <w:t xml:space="preserve">Outbound Transport (Distribution)</w:t>
            </w:r>
          </w:p>
        </w:tc>
        <w:tc>
          <w:tcPr/>
          <w:p>
            <w:pPr>
              <w:pStyle w:val="Compact"/>
              <w:jc w:val="left"/>
            </w:pPr>
            <w:r>
              <w:t xml:space="preserve">0.00265 t * 500 km</w:t>
            </w:r>
          </w:p>
        </w:tc>
        <w:tc>
          <w:tcPr/>
          <w:p>
            <w:pPr>
              <w:pStyle w:val="Compact"/>
              <w:jc w:val="left"/>
            </w:pPr>
            <w:r>
              <w:t xml:space="preserve">0.09 kgCO₂e/tkm</w:t>
            </w:r>
          </w:p>
        </w:tc>
        <w:tc>
          <w:tcPr/>
          <w:p>
            <w:pPr>
              <w:pStyle w:val="Compact"/>
              <w:jc w:val="left"/>
            </w:pPr>
            <w:r>
              <w:t xml:space="preserve">Scope 3, Category 9</w:t>
            </w:r>
          </w:p>
        </w:tc>
        <w:tc>
          <w:tcPr/>
          <w:p>
            <w:pPr>
              <w:pStyle w:val="Compact"/>
              <w:jc w:val="left"/>
            </w:pPr>
            <w:r>
              <w:t xml:space="preserve">0.12</w:t>
            </w:r>
          </w:p>
        </w:tc>
      </w:tr>
      <w:tr>
        <w:tc>
          <w:tcPr/>
          <w:p>
            <w:pPr>
              <w:pStyle w:val="Compact"/>
              <w:jc w:val="left"/>
            </w:pPr>
            <w:r>
              <w:t xml:space="preserve">Last-Mile Delivery</w:t>
            </w:r>
          </w:p>
        </w:tc>
        <w:tc>
          <w:tcPr/>
          <w:p>
            <w:pPr>
              <w:pStyle w:val="Compact"/>
              <w:jc w:val="left"/>
            </w:pPr>
            <w:r>
              <w:t xml:space="preserve">50 km/unit</w:t>
            </w:r>
          </w:p>
        </w:tc>
        <w:tc>
          <w:tcPr/>
          <w:p>
            <w:pPr>
              <w:pStyle w:val="Compact"/>
              <w:jc w:val="left"/>
            </w:pPr>
            <w:r>
              <w:t xml:space="preserve">0.0005 kgCO₂e/unit-km</w:t>
            </w:r>
          </w:p>
        </w:tc>
        <w:tc>
          <w:tcPr/>
          <w:p>
            <w:pPr>
              <w:pStyle w:val="Compact"/>
              <w:jc w:val="left"/>
            </w:pPr>
            <w:r>
              <w:t xml:space="preserve">Scope 3, Category 9</w:t>
            </w:r>
          </w:p>
        </w:tc>
        <w:tc>
          <w:tcPr/>
          <w:p>
            <w:pPr>
              <w:pStyle w:val="Compact"/>
              <w:jc w:val="left"/>
            </w:pPr>
            <w:r>
              <w:t xml:space="preserve">0.03</w:t>
            </w:r>
          </w:p>
        </w:tc>
      </w:tr>
      <w:tr>
        <w:tc>
          <w:tcPr>
            <w:gridSpan w:val="4"/>
          </w:tcPr>
          <w:p>
            <w:pPr>
              <w:pStyle w:val="Compact"/>
              <w:jc w:val="right"/>
            </w:pPr>
            <w:r>
              <w:rPr>
                <w:bCs/>
                <w:b/>
              </w:rPr>
              <w:t xml:space="preserve">Total Transport Emissions:</w:t>
            </w:r>
          </w:p>
        </w:tc>
        <w:tc>
          <w:tcPr/>
          <w:p>
            <w:pPr>
              <w:pStyle w:val="Compact"/>
              <w:jc w:val="left"/>
            </w:pPr>
            <w:r>
              <w:rPr>
                <w:bCs/>
                <w:b/>
              </w:rPr>
              <w:t xml:space="preserve">1.34</w:t>
            </w:r>
          </w:p>
        </w:tc>
      </w:tr>
    </w:tbl>
    <w:bookmarkEnd w:id="33"/>
    <w:bookmarkStart w:id="34" w:name="Xc8d47610e025d3b1fe367d676386ecee874efa3"/>
    <w:p>
      <w:pPr>
        <w:pStyle w:val="Heading3"/>
      </w:pPr>
      <w:r>
        <w:t xml:space="preserve">4.4. Use Phase (Scope 3, Category 11: Use of Sold Products)</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Electricity EF (Consumer Use): 0.6 kgCO₂e/kWh</w:t>
      </w:r>
      <w:r>
        <w:t xml:space="preserve"> </w:t>
      </w:r>
    </w:p>
    <w:p>
      <w:pPr>
        <w:numPr>
          <w:ilvl w:val="0"/>
          <w:numId w:val="1013"/>
        </w:numPr>
        <w:pStyle w:val="Compact"/>
      </w:pPr>
      <w:r>
        <w:t xml:space="preserve">Emissions: 5 years * 10 kWh/year * 0.6 kgCO₂e/kWh = 30.00 kgCO₂e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Product Use</w:t>
            </w:r>
          </w:p>
        </w:tc>
        <w:tc>
          <w:tcPr/>
          <w:p>
            <w:pPr>
              <w:pStyle w:val="Compact"/>
              <w:jc w:val="left"/>
            </w:pPr>
            <w:r>
              <w:t xml:space="preserve">5 years * 10 kWh/year</w:t>
            </w:r>
          </w:p>
        </w:tc>
        <w:tc>
          <w:tcPr/>
          <w:p>
            <w:pPr>
              <w:pStyle w:val="Compact"/>
              <w:jc w:val="left"/>
            </w:pPr>
            <w:r>
              <w:t xml:space="preserve">0.6 kgCO₂e/kWh</w:t>
            </w:r>
          </w:p>
        </w:tc>
        <w:tc>
          <w:tcPr/>
          <w:p>
            <w:pPr>
              <w:pStyle w:val="Compact"/>
              <w:jc w:val="left"/>
            </w:pPr>
            <w:r>
              <w:t xml:space="preserve">Scope 3, Category 11</w:t>
            </w:r>
          </w:p>
        </w:tc>
        <w:tc>
          <w:tcPr/>
          <w:p>
            <w:pPr>
              <w:pStyle w:val="Compact"/>
              <w:jc w:val="left"/>
            </w:pPr>
            <w:r>
              <w:t xml:space="preserve">30.00</w:t>
            </w:r>
          </w:p>
        </w:tc>
      </w:tr>
    </w:tbl>
    <w:bookmarkEnd w:id="34"/>
    <w:bookmarkStart w:id="35" w:name="X65f813d24c0ff2e24bde4d8d9de683cc7ae7bcb"/>
    <w:p>
      <w:pPr>
        <w:pStyle w:val="Heading3"/>
      </w:pPr>
      <w:r>
        <w:t xml:space="preserve">4.5. End-of-Life (EoL) Treatment (Scope 3, Category 12: End-of-Life Treatment of Sold Products)</w:t>
      </w:r>
    </w:p>
    <w:p>
      <w:pPr>
        <w:pStyle w:val="FirstParagraph"/>
      </w:pPr>
      <w:r>
        <w:t xml:space="preserve">Total product mass: 2.65 kg.</w:t>
      </w:r>
    </w:p>
    <w:p>
      <w:pPr>
        <w:numPr>
          <w:ilvl w:val="0"/>
          <w:numId w:val="1014"/>
        </w:numPr>
        <w:pStyle w:val="Compact"/>
      </w:pPr>
      <w:r>
        <w:t xml:space="preserve">Non-recycled portion: 2.65 kg * (1 - 0.80) = 0.53 kg to landfill.</w:t>
      </w:r>
    </w:p>
    <w:p>
      <w:pPr>
        <w:numPr>
          <w:ilvl w:val="1"/>
          <w:numId w:val="1015"/>
        </w:numPr>
        <w:pStyle w:val="Compact"/>
      </w:pPr>
      <w:r>
        <w:t xml:space="preserve">Emissions from landfill: 0.53 kg * 0.3 kgCO₂e/kg = 0.16 kgCO₂e</w:t>
      </w:r>
      <w:r>
        <w:t xml:space="preserve"> </w:t>
      </w:r>
      <w:r>
        <w:t xml:space="preserve">.</w:t>
      </w:r>
    </w:p>
    <w:p>
      <w:pPr>
        <w:numPr>
          <w:ilvl w:val="0"/>
          <w:numId w:val="1014"/>
        </w:numPr>
        <w:pStyle w:val="Compact"/>
      </w:pPr>
      <w:r>
        <w:t xml:space="preserve">Recycled portion: 2.65 kg * 0.80 = 2.12 kg.</w:t>
      </w:r>
    </w:p>
    <w:p>
      <w:pPr>
        <w:numPr>
          <w:ilvl w:val="1"/>
          <w:numId w:val="1016"/>
        </w:numPr>
        <w:pStyle w:val="Compact"/>
      </w:pPr>
      <w:r>
        <w:t xml:space="preserve">Recycling credit: 2.12 kg * (-1.0 kgCO₂e/kg) = -2.12 kgCO₂e.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EoL (Landfill)</w:t>
            </w:r>
          </w:p>
        </w:tc>
        <w:tc>
          <w:tcPr/>
          <w:p>
            <w:pPr>
              <w:pStyle w:val="Compact"/>
              <w:jc w:val="left"/>
            </w:pPr>
            <w:r>
              <w:t xml:space="preserve">0.53 kg</w:t>
            </w:r>
          </w:p>
        </w:tc>
        <w:tc>
          <w:tcPr/>
          <w:p>
            <w:pPr>
              <w:pStyle w:val="Compact"/>
              <w:jc w:val="left"/>
            </w:pPr>
            <w:r>
              <w:t xml:space="preserve">0.3 kgCO₂e/kg</w:t>
            </w:r>
          </w:p>
        </w:tc>
        <w:tc>
          <w:tcPr/>
          <w:p>
            <w:pPr>
              <w:pStyle w:val="Compact"/>
              <w:jc w:val="left"/>
            </w:pPr>
            <w:r>
              <w:t xml:space="preserve">Scope 3, Category 12</w:t>
            </w:r>
          </w:p>
        </w:tc>
        <w:tc>
          <w:tcPr/>
          <w:p>
            <w:pPr>
              <w:pStyle w:val="Compact"/>
              <w:jc w:val="left"/>
            </w:pPr>
            <w:r>
              <w:t xml:space="preserve">0.16</w:t>
            </w:r>
          </w:p>
        </w:tc>
      </w:tr>
      <w:tr>
        <w:tc>
          <w:tcPr/>
          <w:p>
            <w:pPr>
              <w:pStyle w:val="Compact"/>
              <w:jc w:val="left"/>
            </w:pPr>
            <w:r>
              <w:t xml:space="preserve">EoL (Recycling Credit)</w:t>
            </w:r>
          </w:p>
        </w:tc>
        <w:tc>
          <w:tcPr/>
          <w:p>
            <w:pPr>
              <w:pStyle w:val="Compact"/>
              <w:jc w:val="left"/>
            </w:pPr>
            <w:r>
              <w:t xml:space="preserve">2.12 kg</w:t>
            </w:r>
          </w:p>
        </w:tc>
        <w:tc>
          <w:tcPr/>
          <w:p>
            <w:pPr>
              <w:pStyle w:val="Compact"/>
              <w:jc w:val="left"/>
            </w:pPr>
            <w:r>
              <w:t xml:space="preserve">-1.0 kgCO₂e/kg</w:t>
            </w:r>
          </w:p>
        </w:tc>
        <w:tc>
          <w:tcPr/>
          <w:p>
            <w:pPr>
              <w:pStyle w:val="Compact"/>
              <w:jc w:val="left"/>
            </w:pPr>
            <w:r>
              <w:t xml:space="preserve">Scope 3, Category 12</w:t>
            </w:r>
          </w:p>
        </w:tc>
        <w:tc>
          <w:tcPr/>
          <w:p>
            <w:pPr>
              <w:pStyle w:val="Compact"/>
              <w:jc w:val="left"/>
            </w:pPr>
            <w:r>
              <w:t xml:space="preserve">-2.12</w:t>
            </w:r>
          </w:p>
        </w:tc>
      </w:tr>
      <w:tr>
        <w:tc>
          <w:tcPr>
            <w:gridSpan w:val="4"/>
          </w:tcPr>
          <w:p>
            <w:pPr>
              <w:pStyle w:val="Compact"/>
              <w:jc w:val="right"/>
            </w:pPr>
            <w:r>
              <w:rPr>
                <w:bCs/>
                <w:b/>
              </w:rPr>
              <w:t xml:space="preserve">Total End-of-Life Emissions (Net):</w:t>
            </w:r>
          </w:p>
        </w:tc>
        <w:tc>
          <w:tcPr/>
          <w:p>
            <w:pPr>
              <w:pStyle w:val="Compact"/>
              <w:jc w:val="left"/>
            </w:pPr>
            <w:r>
              <w:rPr>
                <w:bCs/>
                <w:b/>
              </w:rPr>
              <w:t xml:space="preserve">-1.96</w:t>
            </w:r>
          </w:p>
        </w:tc>
      </w:tr>
    </w:tbl>
    <w:bookmarkEnd w:id="35"/>
    <w:bookmarkStart w:id="36" w:name="total-product-carbon-footprint-summary"/>
    <w:p>
      <w:pPr>
        <w:pStyle w:val="Heading3"/>
      </w:pPr>
      <w:r>
        <w:t xml:space="preserve">4.6. Total Product Carbon Footprint Summary</w:t>
      </w:r>
    </w:p>
    <w:p>
      <w:pPr>
        <w:pStyle w:val="FirstParagraph"/>
      </w:pPr>
      <w:r>
        <w:t xml:space="preserve">The total PCF for one functional unit of pqxjignfez 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(kgCO₂e)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7.00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Transport &amp; Distribution</w:t>
            </w:r>
          </w:p>
        </w:tc>
        <w:tc>
          <w:tcPr/>
          <w:p>
            <w:pPr>
              <w:pStyle w:val="Compact"/>
              <w:jc w:val="left"/>
            </w:pPr>
            <w:r>
              <w:t xml:space="preserve">Scope 3, Categories 4 &amp; 9</w:t>
            </w:r>
          </w:p>
        </w:tc>
        <w:tc>
          <w:tcPr/>
          <w:p>
            <w:pPr>
              <w:pStyle w:val="Compact"/>
              <w:jc w:val="left"/>
            </w:pPr>
            <w:r>
              <w:t xml:space="preserve">1.34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 Treatment (Net)</w:t>
            </w:r>
          </w:p>
        </w:tc>
        <w:tc>
          <w:tcPr/>
          <w:p>
            <w:pPr>
              <w:pStyle w:val="Compact"/>
              <w:jc w:val="left"/>
            </w:pPr>
            <w:r>
              <w:t xml:space="preserve">Scope 3, Category 12</w:t>
            </w:r>
          </w:p>
        </w:tc>
        <w:tc>
          <w:tcPr/>
          <w:p>
            <w:pPr>
              <w:pStyle w:val="Compact"/>
              <w:jc w:val="left"/>
            </w:pPr>
            <w:r>
              <w:t xml:space="preserve">-1.96</w:t>
            </w:r>
          </w:p>
        </w:tc>
      </w:tr>
      <w:tr>
        <w:tc>
          <w:tcPr>
            <w:gridSpan w:val="2"/>
          </w:tcPr>
          <w:p>
            <w:pPr>
              <w:pStyle w:val="Compact"/>
              <w:jc w:val="right"/>
            </w:pPr>
            <w:r>
              <w:rPr>
                <w:bCs/>
                <w:b/>
              </w:rPr>
              <w:t xml:space="preserve">TOTAL PRODUCT CARBON FOOTPRINT (kgCO₂e):</w:t>
            </w:r>
          </w:p>
        </w:tc>
        <w:tc>
          <w:tcPr/>
          <w:p>
            <w:pPr>
              <w:pStyle w:val="Compact"/>
              <w:jc w:val="left"/>
            </w:pPr>
            <w:r>
              <w:rPr>
                <w:bCs/>
                <w:b/>
              </w:rPr>
              <w:t xml:space="preserve">39.08</w:t>
            </w:r>
          </w:p>
        </w:tc>
      </w:tr>
    </w:tbl>
    <w:p>
      <w:pPr>
        <w:pStyle w:val="BodyText"/>
      </w:pPr>
      <w:r>
        <w:rPr>
          <w:bCs/>
          <w:b/>
        </w:rPr>
        <w:t xml:space="preserve">Overall Scope Breakdown:</w:t>
      </w:r>
    </w:p>
    <w:p>
      <w:pPr>
        <w:numPr>
          <w:ilvl w:val="0"/>
          <w:numId w:val="1017"/>
        </w:numPr>
        <w:pStyle w:val="Compact"/>
      </w:pPr>
      <w:r>
        <w:rPr>
          <w:bCs/>
          <w:b/>
        </w:rPr>
        <w:t xml:space="preserve">Scope 1:</w:t>
      </w:r>
      <w:r>
        <w:t xml:space="preserve"> </w:t>
      </w:r>
      <w:r>
        <w:t xml:space="preserve">0.00 kgCO₂e (Assumed negligible for this product\'s direct manufacturing operations)</w:t>
      </w:r>
    </w:p>
    <w:p>
      <w:pPr>
        <w:numPr>
          <w:ilvl w:val="0"/>
          <w:numId w:val="1017"/>
        </w:numPr>
        <w:pStyle w:val="Compact"/>
      </w:pPr>
      <w:r>
        <w:rPr>
          <w:bCs/>
          <w:b/>
        </w:rPr>
        <w:t xml:space="preserve">Scope 2:</w:t>
      </w:r>
      <w:r>
        <w:t xml:space="preserve"> </w:t>
      </w:r>
      <w:r>
        <w:t xml:space="preserve">2.70 kgCO₂e (Purchased electricity for manufacturing)</w:t>
      </w:r>
    </w:p>
    <w:p>
      <w:pPr>
        <w:numPr>
          <w:ilvl w:val="0"/>
          <w:numId w:val="1017"/>
        </w:numPr>
        <w:pStyle w:val="Compact"/>
      </w:pPr>
      <w:r>
        <w:rPr>
          <w:bCs/>
          <w:b/>
        </w:rPr>
        <w:t xml:space="preserve">Scope 3:</w:t>
      </w:r>
      <w:r>
        <w:t xml:space="preserve"> </w:t>
      </w:r>
      <w:r>
        <w:t xml:space="preserve">7.00 (Materials) + 1.34 (Transport) + 30.00 (Use Phase) - 1.96 (EoL) = 36.38 kgCO₂e</w:t>
      </w:r>
    </w:p>
    <w:p>
      <w:pPr>
        <w:pStyle w:val="FirstParagraph"/>
      </w:pPr>
      <w:r>
        <w:t xml:space="preserve">The Scope 3 coverage is approximately (36.38 / 39.08) * 100 = 93.09%. To meet the 95% threshold for Scope 3 as per 2026 GHG Protocol revisions, further detailed investigation into minor upstream/downstream activities (e.g., business travel, waste generated in operations) would be required to achieve full compliance.</w:t>
      </w:r>
    </w:p>
    <w:p>
      <w:r>
        <w:pict>
          <v:rect style="width:0;height:1.5pt" o:hralign="center" o:hrstd="t" o:hr="t"/>
        </w:pict>
      </w:r>
    </w:p>
    <w:bookmarkEnd w:id="36"/>
    <w:bookmarkEnd w:id="37"/>
    <w:bookmarkStart w:id="43"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The primary emission hotspots for pqxjignfez are:</w:t>
      </w:r>
    </w:p>
    <w:p>
      <w:pPr>
        <w:numPr>
          <w:ilvl w:val="0"/>
          <w:numId w:val="1018"/>
        </w:numPr>
        <w:pStyle w:val="Compact"/>
      </w:pPr>
      <w:r>
        <w:rPr>
          <w:bCs/>
          <w:b/>
        </w:rPr>
        <w:t xml:space="preserve">Use Phase (30.00 kgCO₂e, 76.7% of total PCF):</w:t>
      </w:r>
      <w:r>
        <w:t xml:space="preserve"> </w:t>
      </w:r>
      <w:r>
        <w:t xml:space="preserve">This is by far the largest contributor, driven by the product\'s energy consumption over its 5-year lifespan. This highlights the critical importance of energy efficiency during product design and consumer education on efficient use.</w:t>
      </w:r>
    </w:p>
    <w:p>
      <w:pPr>
        <w:numPr>
          <w:ilvl w:val="0"/>
          <w:numId w:val="1018"/>
        </w:numPr>
        <w:pStyle w:val="Compact"/>
      </w:pPr>
      <w:r>
        <w:rPr>
          <w:bCs/>
          <w:b/>
        </w:rPr>
        <w:t xml:space="preserve">Material Acquisition (7.00 kgCO₂e, 17.9% of total PCF):</w:t>
      </w:r>
      <w:r>
        <w:t xml:space="preserve"> </w:t>
      </w:r>
      <w:r>
        <w:t xml:space="preserve">The embodied emissions in raw materials, particularly the steel casing and ABS plastic, represent a significant portion. Sourcing lower-carbon materials and optimizing material usage can reduce this impact.</w:t>
      </w:r>
    </w:p>
    <w:p>
      <w:pPr>
        <w:numPr>
          <w:ilvl w:val="0"/>
          <w:numId w:val="1018"/>
        </w:numPr>
        <w:pStyle w:val="Compact"/>
      </w:pPr>
      <w:r>
        <w:rPr>
          <w:bCs/>
          <w:b/>
        </w:rPr>
        <w:t xml:space="preserve">Manufacturing (2.70 kgCO₂e, 6.9% of total PCF):</w:t>
      </w:r>
      <w:r>
        <w:t xml:space="preserve"> </w:t>
      </w:r>
      <w:r>
        <w:t xml:space="preserve">While gfzdomvivd utilizes 70% renewable energy, further decarbonization of the remaining grid electricity or increasing on-site renewable generation could reduce this footprint.</w:t>
      </w:r>
    </w:p>
    <w:bookmarkEnd w:id="38"/>
    <w:bookmarkStart w:id="39" w:name="X22bcc3ad5ce4df236a8e30da0056eb262dfb760"/>
    <w:p>
      <w:pPr>
        <w:pStyle w:val="Heading3"/>
      </w:pPr>
      <w:r>
        <w:t xml:space="preserve">5.2. Reliability Statement and 2026 GHG Protocol Updates</w:t>
      </w:r>
    </w:p>
    <w:p>
      <w:pPr>
        <w:pStyle w:val="FirstParagraph"/>
      </w:pPr>
      <w:r>
        <w:t xml:space="preserve">This report provides a robust estimate of the Product Carbon Footprint for pqxjignfez based on the available parameters and industry-standard emission factors. The reliability of the results is directly proportional to the accuracy and specificity of the input data.</w:t>
      </w:r>
    </w:p>
    <w:p>
      <w:pPr>
        <w:pStyle w:val="BodyText"/>
      </w:pPr>
      <w:r>
        <w:rPr>
          <w:bCs/>
          <w:b/>
        </w:rPr>
        <w:t xml:space="preserve">2026 GHG Protocol Scope 3 Revisions:</w:t>
      </w:r>
      <w:r>
        <w:t xml:space="preserve"> </w:t>
      </w:r>
      <w:r>
        <w:t xml:space="preserve">The GHG Protocol\'s 2026 revisions to the Scope 3 Standard emphasize a 95% inclusion threshold for boundary setting and mandatory disaggregation of emissions by data type. While this analysis aimed for comprehensive Scope 3 coverage, the use of illustrative emission factors for certain categories (e.g., specific manufacturing processes, electronic components, recycling credits) means that in a real-world scenario, primary data directly from suppliers and operations would be required to meet the enhanced data quality and disaggregation requirements of the 2026 standard. Achieving the 95% threshold would necessitate exhaustive data collection across all minor Scope 3 categories and robust justification for any exclusions.</w:t>
      </w:r>
    </w:p>
    <w:p>
      <w:pPr>
        <w:pStyle w:val="BodyText"/>
      </w:pPr>
      <w:r>
        <w:rPr>
          <w:bCs/>
          <w:b/>
        </w:rPr>
        <w:t xml:space="preserve">2026 Land Sector and Removals (LSR) Standard:</w:t>
      </w:r>
      <w:r>
        <w:t xml:space="preserve"> </w:t>
      </w:r>
      <w:r>
        <w:t xml:space="preserve">The LSR Standard, released on January 30, 2026, and effective January 1, 2027, provides a framework for accounting for land-based GHG emissions and CO₂ removals. For product pqxjignfez, primarily an electronic device, direct land use change impacts are not explicitly detailed in the provided BOM. However, for raw materials with agricultural or forestry origins, or those involving significant land-intensive extraction, the LSR Standard\'s guidance would be crucial for accurate accounting. This analysis assumes that the embedded emissions factors for materials already account for their upstream impacts; however, future PCF analyses should proactively seek primary data aligned with the LSR Standard if applicable to raw material sourcing. It is important to note that forest carbon accounting is not included in the current version of the LSR Standard.</w:t>
      </w:r>
    </w:p>
    <w:bookmarkEnd w:id="39"/>
    <w:bookmarkStart w:id="42" w:name="recommendations"/>
    <w:p>
      <w:pPr>
        <w:pStyle w:val="Heading3"/>
      </w:pPr>
      <w:r>
        <w:t xml:space="preserve">5.3. Recommendations</w:t>
      </w:r>
    </w:p>
    <w:p>
      <w:pPr>
        <w:pStyle w:val="FirstParagraph"/>
      </w:pPr>
      <w:r>
        <w:t xml:space="preserve">To reduce the PCF of pqxjignfez and enhance reporting accuracy:</w:t>
      </w:r>
    </w:p>
    <w:p>
      <w:pPr>
        <w:numPr>
          <w:ilvl w:val="0"/>
          <w:numId w:val="1019"/>
        </w:numPr>
        <w:pStyle w:val="Compact"/>
      </w:pPr>
      <w:r>
        <w:rPr>
          <w:bCs/>
          <w:b/>
        </w:rPr>
        <w:t xml:space="preserve">Product Redesign for Energy Efficiency:</w:t>
      </w:r>
      <w:r>
        <w:t xml:space="preserve"> </w:t>
      </w:r>
      <w:r>
        <w:t xml:space="preserve">Focus on significantly reducing energy consumption during the use phase through design innovations (e.g., lower power components, advanced power management features).</w:t>
      </w:r>
    </w:p>
    <w:p>
      <w:pPr>
        <w:numPr>
          <w:ilvl w:val="0"/>
          <w:numId w:val="1019"/>
        </w:numPr>
        <w:pStyle w:val="Compact"/>
      </w:pPr>
      <w:r>
        <w:rPr>
          <w:bCs/>
          <w:b/>
        </w:rPr>
        <w:t xml:space="preserve">Sustainable Material Sourcing:</w:t>
      </w:r>
      <w:r>
        <w:t xml:space="preserve"> </w:t>
      </w:r>
      <w:r>
        <w:t xml:space="preserve">Investigate and prioritize suppliers offering materials with lower embodied carbon footprints, seeking specific PCF data for components from suppliers (primary data) to improve Scope 3 accuracy.</w:t>
      </w:r>
    </w:p>
    <w:p>
      <w:pPr>
        <w:numPr>
          <w:ilvl w:val="0"/>
          <w:numId w:val="1019"/>
        </w:numPr>
        <w:pStyle w:val="Compact"/>
      </w:pPr>
      <w:r>
        <w:rPr>
          <w:bCs/>
          <w:b/>
        </w:rPr>
        <w:t xml:space="preserve">Increased Renewable Energy:</w:t>
      </w:r>
      <w:r>
        <w:t xml:space="preserve"> </w:t>
      </w:r>
      <w:r>
        <w:t xml:space="preserve">Explore options to further increase renewable energy usage in manufacturing beyond 70%, or procure higher quality renewable energy certificates/PPAs.</w:t>
      </w:r>
    </w:p>
    <w:p>
      <w:pPr>
        <w:numPr>
          <w:ilvl w:val="0"/>
          <w:numId w:val="1019"/>
        </w:numPr>
        <w:pStyle w:val="Compact"/>
      </w:pPr>
      <w:r>
        <w:rPr>
          <w:bCs/>
          <w:b/>
        </w:rPr>
        <w:t xml:space="preserve">Enhanced Circularity:</w:t>
      </w:r>
      <w:r>
        <w:t xml:space="preserve"> </w:t>
      </w:r>
      <w:r>
        <w:t xml:space="preserve">Leverage the established circular/take-back programs to maximize recycling rates and explore opportunities for material reuse or refurbishment.</w:t>
      </w:r>
    </w:p>
    <w:p>
      <w:pPr>
        <w:numPr>
          <w:ilvl w:val="0"/>
          <w:numId w:val="1019"/>
        </w:numPr>
        <w:pStyle w:val="Compact"/>
      </w:pPr>
      <w:r>
        <w:rPr>
          <w:bCs/>
          <w:b/>
        </w:rPr>
        <w:t xml:space="preserve">Data Collection for 2026 Compliance:</w:t>
      </w:r>
      <w:r>
        <w:t xml:space="preserve"> </w:t>
      </w:r>
      <w:r>
        <w:t xml:space="preserve">Initiate processes to collect high-quality, disaggregated primary data across all Scope 3 categories to ensure full compliance with the 95% coverage requirement and data transparency mandates of the revised GHG Protocol standards.</w:t>
      </w:r>
    </w:p>
    <w:p>
      <w:r>
        <w:pict>
          <v:rect style="width:0;height:1.5pt" o:hralign="center" o:hrstd="t" o:hr="t"/>
        </w:pict>
      </w:r>
    </w:p>
    <w:p>
      <w:pPr>
        <w:pStyle w:val="FirstParagraph"/>
      </w:pPr>
      <w:r>
        <w:t xml:space="preserve">Confidential - Internal Use Only | Page</w:t>
      </w:r>
      <w:r>
        <w:t xml:space="preserve"> </w:t>
      </w:r>
      <w:bookmarkStart w:id="40" w:name="page-num"/>
      <w:r>
        <w:t xml:space="preserve">1</w:t>
      </w:r>
      <w:bookmarkEnd w:id="40"/>
      <w:r>
        <w:t xml:space="preserve"> </w:t>
      </w:r>
      <w:r>
        <w:t xml:space="preserve">of</w:t>
      </w:r>
      <w:r>
        <w:t xml:space="preserve"> </w:t>
      </w:r>
      <w:bookmarkStart w:id="41" w:name="total-pages"/>
      <w:r>
        <w:t xml:space="preserve">1</w:t>
      </w:r>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pqxjignfez</dc:title>
  <dc:creator/>
  <dc:description>High-detail Product Carbon Footprint (PCF) analysis report for product pqxjignfez, performed by uoxvdlovlg for gfzdomvivd, adhering to GHG Protocol standards and 2026 updates.</dc:description>
  <dc:language>en</dc:language>
  <cp:keywords/>
  <dcterms:created xsi:type="dcterms:W3CDTF">2026-07-15T09:09:03Z</dcterms:created>
  <dcterms:modified xsi:type="dcterms:W3CDTF">2026-07-15T09:09:03Z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