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pofwperkiu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t xml:space="preserve">pofwperkiu</w:t>
      </w:r>
    </w:p>
    <w:p>
      <w:pPr>
        <w:pStyle w:val="BodyText"/>
      </w:pPr>
      <w:r>
        <w:t xml:space="preserve">Company Name:</w:t>
      </w:r>
      <w:r>
        <w:t xml:space="preserve"> </w:t>
      </w:r>
      <w:r>
        <w:t xml:space="preserve">vudimmuirn</w:t>
      </w:r>
    </w:p>
    <w:p>
      <w:pPr>
        <w:pStyle w:val="BodyText"/>
      </w:pPr>
      <w:r>
        <w:t xml:space="preserve">Senior Sustainability Consultant:</w:t>
      </w:r>
      <w:r>
        <w:t xml:space="preserve"> </w:t>
      </w:r>
      <w:r>
        <w:t xml:space="preserve">rwpowenpmr</w:t>
      </w:r>
    </w:p>
    <w:p>
      <w:pPr>
        <w:pStyle w:val="BodyText"/>
      </w:pPr>
      <w: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availability.</w:t>
      </w:r>
    </w:p>
    <w:bookmarkEnd w:id="20"/>
    <w:bookmarkStart w:id="21" w:name="X3fe5eba07c5c5bf91303cdd63a5c4a34154fa99"/>
    <w:p>
      <w:pPr>
        <w:pStyle w:val="Heading1"/>
      </w:pPr>
      <w:r>
        <w:t xml:space="preserve">Product Carbon Footprint Analysis for pofwperkiu</w:t>
      </w:r>
    </w:p>
    <w:p>
      <w:pPr>
        <w:pStyle w:val="FirstParagraph"/>
      </w:pPr>
      <w:r>
        <w:t xml:space="preserve">Generated Date: June 2, 2026</w:t>
      </w:r>
    </w:p>
    <w:p>
      <w:pPr>
        <w:pStyle w:val="BodyText"/>
      </w:pPr>
      <w:r>
        <w:t xml:space="preserve">Company: vudimmuirn | Consultant: rwpowenpmr</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report details the greenhouse gas (GHG) emissions associated with the entire lifecycle of the product</w:t>
      </w:r>
      <w:r>
        <w:t xml:space="preserve"> </w:t>
      </w:r>
      <w:r>
        <w:t xml:space="preserve">pofwperkiu</w:t>
      </w:r>
      <w:r>
        <w:t xml:space="preserve">, manufactured by</w:t>
      </w:r>
      <w:r>
        <w:t xml:space="preserve"> </w:t>
      </w:r>
      <w:r>
        <w:t xml:space="preserve">vudimmuirn</w:t>
      </w:r>
      <w:r>
        <w:t xml:space="preserve">. Conducted by Senior Sustainability Consultant</w:t>
      </w:r>
      <w:r>
        <w:t xml:space="preserve"> </w:t>
      </w:r>
      <w:r>
        <w:t xml:space="preserve">rwpowenpmr</w:t>
      </w:r>
      <w:r>
        <w:t xml:space="preserve">, this analysis strictly adheres to the GHG Protocol Product Standard, incorporating the latest 2026 updates including the Land Sector and Removals (LSR) Standard and aiming for 95% Scope 3 coverage. The system boundary for this assessment is primarily \'factory_gate\', focusing on emissions up to the point the product leaves the manufacturing facility in China. However, for a comprehensive cradle-to-grave perspective, key downstream elements such as transportation to the customer, the product use phase, and end-of-life scenarios are also included in the analysis. The primary objective is to identify carbon hotspots throughout the product lifecycle and provide a robust foundation for targeted emission reduction strategies.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pofwperkiu has been calculated following a systematic Life Cycle Assessment (LCA) approach in accordance with the GHG Protocol Product Standard. The methodology encompasses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1.1 Accounting Standard</w:t>
      </w:r>
    </w:p>
    <w:p>
      <w:pPr>
        <w:pStyle w:val="FirstParagraph"/>
      </w:pPr>
      <w:r>
        <w:t xml:space="preserve">This report explicitly adheres to the</w:t>
      </w:r>
      <w:r>
        <w:t xml:space="preserve"> </w:t>
      </w:r>
      <w:r>
        <w:t xml:space="preserve">GHG Protocol</w:t>
      </w:r>
      <w:r>
        <w:t xml:space="preserve"> </w:t>
      </w:r>
      <w:r>
        <w:t xml:space="preserve">for calculating and reporting greenhouse gas emissions. Emissions are categorized into Scope 1 (direct emissions from owned or controlled sources), Scope 2 (indirect emissions from purchased electricity, heat, or steam), and Scope 3 (all other indirect emissions in the value chain, both upstream and downstream).</w:t>
      </w:r>
    </w:p>
    <w:bookmarkEnd w:id="23"/>
    <w:bookmarkStart w:id="24" w:name="ghg-protocol-updates"/>
    <w:p>
      <w:pPr>
        <w:pStyle w:val="Heading3"/>
      </w:pPr>
      <w:r>
        <w:t xml:space="preserve">1.2 2026 GHG Protocol Updates</w:t>
      </w:r>
    </w:p>
    <w:p>
      <w:pPr>
        <w:numPr>
          <w:ilvl w:val="0"/>
          <w:numId w:val="1002"/>
        </w:numPr>
        <w:pStyle w:val="Compact"/>
      </w:pPr>
      <w:r>
        <w:t xml:space="preserve">Land Sector and Removals (LSR) Standard:</w:t>
      </w:r>
      <w:r>
        <w:t xml:space="preserve"> </w:t>
      </w:r>
      <w:r>
        <w:t xml:space="preserve">The analysis incorporates considerations from the 2026 LSR Standard for land use and carbon removals, which provides accounting requirements for land emissions, CO2 removals, and biogenic products. Although the LSR Standard officially takes effect on January 1, 2027, its principles are applied where relevant, particularly for upstream biogenic material impacts, to ensure future compliance and comprehensive reporting.</w:t>
      </w:r>
    </w:p>
    <w:p>
      <w:pPr>
        <w:numPr>
          <w:ilvl w:val="0"/>
          <w:numId w:val="1002"/>
        </w:numPr>
        <w:pStyle w:val="Compact"/>
      </w:pPr>
      <w:r>
        <w:t xml:space="preserve">Scope 3 Compliance:</w:t>
      </w:r>
      <w:r>
        <w:t xml:space="preserve"> </w:t>
      </w:r>
      <w:r>
        <w:t xml:space="preserve">A critical objective of this assessment is to ensure at least 95% coverage for Scope 3 reporting, as per the 2026 proposed revisions to the Scope 3 Standard. This requires quantifying all major Scope 3 emission sources (by magnitude) to enhance completeness, consistency, transparency, and comparability of inventories, allowing flexibility to exclude only minor sources of emissions.</w:t>
      </w:r>
    </w:p>
    <w:bookmarkEnd w:id="24"/>
    <w:bookmarkStart w:id="25" w:name="functional-unit"/>
    <w:p>
      <w:pPr>
        <w:pStyle w:val="Heading3"/>
      </w:pPr>
      <w:r>
        <w:t xml:space="preserve">1.3 Functional Unit</w:t>
      </w:r>
    </w:p>
    <w:p>
      <w:pPr>
        <w:pStyle w:val="FirstParagraph"/>
      </w:pPr>
      <w:r>
        <w:t xml:space="preserve">The functional unit for this PCF analysis is</w:t>
      </w:r>
      <w:r>
        <w:t xml:space="preserve"> </w:t>
      </w:r>
      <w:r>
        <w:t xml:space="preserve">1.0 unit of pofwperkiu</w:t>
      </w:r>
      <w:r>
        <w:t xml:space="preserve">.</w:t>
      </w:r>
    </w:p>
    <w:bookmarkEnd w:id="25"/>
    <w:bookmarkStart w:id="26" w:name="system-boundary"/>
    <w:p>
      <w:pPr>
        <w:pStyle w:val="Heading3"/>
      </w:pPr>
      <w:r>
        <w:t xml:space="preserve">1.4 System Boundary</w:t>
      </w:r>
    </w:p>
    <w:p>
      <w:pPr>
        <w:pStyle w:val="FirstParagraph"/>
      </w:pPr>
      <w:r>
        <w:t xml:space="preserve">The system boundary for the core product manufacturing is</w:t>
      </w:r>
      <w:r>
        <w:t xml:space="preserve"> </w:t>
      </w:r>
      <w:r>
        <w:t xml:space="preserve">"factory_gate"</w:t>
      </w:r>
      <w:r>
        <w:t xml:space="preserve">. This includes raw material acquisition, pre-processing, and manufacturing up to the point the finished product leaves the production facility. For a comprehensive view and to provide a "cradle-to-grave" understanding, essential downstream phases (transport to customer, use phase, and end-of-life) are also included in the analysis.</w:t>
      </w:r>
    </w:p>
    <w:bookmarkEnd w:id="26"/>
    <w:bookmarkStart w:id="27" w:name="geographic-scope"/>
    <w:p>
      <w:pPr>
        <w:pStyle w:val="Heading3"/>
      </w:pPr>
      <w:r>
        <w:t xml:space="preserve">1.5 Geographic Scope</w:t>
      </w:r>
    </w:p>
    <w:p>
      <w:pPr>
        <w:pStyle w:val="FirstParagraph"/>
      </w:pPr>
      <w:r>
        <w:t xml:space="preserve">The</w:t>
      </w:r>
      <w:r>
        <w:t xml:space="preserve"> </w:t>
      </w:r>
      <w:r>
        <w:t xml:space="preserve">Final Production Country is China</w:t>
      </w:r>
      <w:r>
        <w:t xml:space="preserve">, with a</w:t>
      </w:r>
      <w:r>
        <w:t xml:space="preserve"> </w:t>
      </w:r>
      <w:r>
        <w:t xml:space="preserve">Supply Chain Focus on Europe</w:t>
      </w:r>
      <w:r>
        <w:t xml:space="preserve"> </w:t>
      </w:r>
      <w:r>
        <w:t xml:space="preserve">for upstream materials. Downstream impacts (Use Phase, End-of-Life) are considered globally where specific regional data is not provided.</w:t>
      </w:r>
    </w:p>
    <w:p>
      <w:r>
        <w:pict>
          <v:rect style="width:0;height:1.5pt" o:hralign="center" o:hrstd="t" o:hr="t"/>
        </w:pict>
      </w:r>
    </w:p>
    <w:bookmarkEnd w:id="27"/>
    <w:bookmarkEnd w:id="28"/>
    <w:bookmarkStart w:id="35" w:name="X165b47bb5250a55c5bdeab8c531813c156fa397"/>
    <w:p>
      <w:pPr>
        <w:pStyle w:val="Heading2"/>
      </w:pPr>
      <w:r>
        <w:t xml:space="preserve">2. Lifecycle Mapping and Data Collection (Steps 2 &amp; 3)</w:t>
      </w:r>
    </w:p>
    <w:p>
      <w:pPr>
        <w:pStyle w:val="FirstParagraph"/>
      </w:pPr>
      <w:r>
        <w:t xml:space="preserve">This section details the inventory of materials, energy, and logistics data gathered for each lifecycle stage of the pofwperkiu product. Primary data, particularly from the Detailed Bill of Materials (BOM) and energy consumption logs, has been prioritized to enhance accuracy. Where primary data was unavailable or a parameter was provided as a placeholder, industry-average secondary emission factors (e.g., from Ecoinvent/DEFRA equivalents) and reasonable assumptions have been used.</w:t>
      </w:r>
    </w:p>
    <w:bookmarkStart w:id="30" w:name="Xa5757ff828d0a0c3207dfc0e408b139ceaa85dc"/>
    <w:p>
      <w:pPr>
        <w:pStyle w:val="Heading3"/>
      </w:pPr>
      <w:r>
        <w:t xml:space="preserve">2.1 Detailed Bill of Materials (BOM) - Upstream (Scope 3, Category 1)</w:t>
      </w:r>
    </w:p>
    <w:p>
      <w:pPr>
        <w:pStyle w:val="FirstParagraph"/>
      </w:pPr>
      <w:r>
        <w:t xml:space="preserve">The provided Detailed Bill of Materials (BOM) for</w:t>
      </w:r>
      <w:r>
        <w:t xml:space="preserve"> </w:t>
      </w:r>
      <w:r>
        <w:t xml:space="preserve">mqquqoot</w:t>
      </w:r>
      <w:r>
        <w:t xml:space="preserve"> </w:t>
      </w:r>
      <w:r>
        <w:t xml:space="preserve">serves as the primary data source for material inputs. The "Total Carbon" value for each item, which represents its cradle-to-gate impact, has been directly used for material acquisition and pre-processing emissions. The total weight of the product based on the BOM is calculated to support downstream transport and end-of-life emissions analysis.</w:t>
      </w:r>
    </w:p>
    <w:bookmarkStart w:id="29" w:name="bom-details-and-material-impact"/>
    <w:p>
      <w:pPr>
        <w:pStyle w:val="Heading4"/>
      </w:pPr>
      <w:r>
        <w:t xml:space="preserve">BOM Details and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50</w:t>
            </w:r>
          </w:p>
        </w:tc>
        <w:tc>
          <w:tcPr/>
          <w:p>
            <w:pPr>
              <w:pStyle w:val="Compact"/>
              <w:jc w:val="left"/>
            </w:pPr>
            <w:r>
              <w:t xml:space="preserve">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0.5</w:t>
            </w:r>
          </w:p>
        </w:tc>
        <w:tc>
          <w:tcPr/>
          <w:p>
            <w:pPr>
              <w:pStyle w:val="Compact"/>
              <w:jc w:val="left"/>
            </w:pPr>
            <w:r>
              <w:t xml:space="preserve">0.075</w:t>
            </w:r>
          </w:p>
        </w:tc>
      </w:tr>
      <w:tr>
        <w:tc>
          <w:tcPr>
            <w:gridSpan w:val="7"/>
          </w:tcPr>
          <w:p>
            <w:pPr>
              <w:pStyle w:val="Compact"/>
              <w:jc w:val="right"/>
            </w:pPr>
            <w:r>
              <w:t xml:space="preserve">Total Material Impact (kg CO2e):</w:t>
            </w:r>
          </w:p>
        </w:tc>
        <w:tc>
          <w:tcPr/>
          <w:p>
            <w:pPr>
              <w:pStyle w:val="Compact"/>
              <w:jc w:val="left"/>
            </w:pPr>
            <w:r>
              <w:t xml:space="preserve">2.335</w:t>
            </w:r>
          </w:p>
        </w:tc>
      </w:tr>
      <w:tr>
        <w:tc>
          <w:tcPr>
            <w:gridSpan w:val="7"/>
          </w:tcPr>
          <w:p>
            <w:pPr>
              <w:pStyle w:val="Compact"/>
              <w:jc w:val="right"/>
            </w:pPr>
            <w:r>
              <w:t xml:space="preserve">Total Product Weight (kg):</w:t>
            </w:r>
          </w:p>
        </w:tc>
        <w:tc>
          <w:tcPr/>
          <w:p>
            <w:pPr>
              <w:pStyle w:val="Compact"/>
              <w:jc w:val="left"/>
            </w:pPr>
            <w:r>
              <w:t xml:space="preserve">0.600</w:t>
            </w:r>
          </w:p>
        </w:tc>
      </w:tr>
    </w:tbl>
    <w:bookmarkEnd w:id="29"/>
    <w:bookmarkEnd w:id="30"/>
    <w:bookmarkStart w:id="31" w:name="X6bb0c0333fdd5306d3d2cf039c0fd4aee2f14d9"/>
    <w:p>
      <w:pPr>
        <w:pStyle w:val="Heading3"/>
      </w:pPr>
      <w:r>
        <w:t xml:space="preserve">2.2 Production Energy Consumption - Manufacturing (Scope 2)</w:t>
      </w:r>
    </w:p>
    <w:p>
      <w:pPr>
        <w:pStyle w:val="FirstParagraph"/>
      </w:pPr>
      <w:r>
        <w:t xml:space="preserve">Production energy data for the manufacturing process in China has been integrated:</w:t>
      </w:r>
    </w:p>
    <w:p>
      <w:pPr>
        <w:numPr>
          <w:ilvl w:val="0"/>
          <w:numId w:val="1003"/>
        </w:numPr>
        <w:pStyle w:val="Compact"/>
      </w:pPr>
      <w:r>
        <w:t xml:space="preserve">Energy Intensity (kWh/unit):</w:t>
      </w:r>
      <w:r>
        <w:t xml:space="preserve"> </w:t>
      </w:r>
      <w:r>
        <w:t xml:space="preserve">5 kWh/unit</w:t>
      </w:r>
      <w:r>
        <w:t xml:space="preserve"> </w:t>
      </w:r>
      <w:r>
        <w:t xml:space="preserve">(parameter</w:t>
      </w:r>
      <w:r>
        <w:t xml:space="preserve"> </w:t>
      </w:r>
      <w:r>
        <w:t xml:space="preserve">xrunjipdvq</w:t>
      </w:r>
      <w:r>
        <w:t xml:space="preserve">)</w:t>
      </w:r>
    </w:p>
    <w:p>
      <w:pPr>
        <w:numPr>
          <w:ilvl w:val="0"/>
          <w:numId w:val="1003"/>
        </w:numPr>
        <w:pStyle w:val="Compact"/>
      </w:pPr>
      <w:r>
        <w:t xml:space="preserve">Renewable Energy Usage:</w:t>
      </w:r>
      <w:r>
        <w:t xml:space="preserve"> </w:t>
      </w:r>
      <w:r>
        <w:t xml:space="preserve">75%</w:t>
      </w:r>
      <w:r>
        <w:t xml:space="preserve"> </w:t>
      </w:r>
      <w:r>
        <w:t xml:space="preserve">(parameter</w:t>
      </w:r>
      <w:r>
        <w:t xml:space="preserve"> </w:t>
      </w:r>
      <w:r>
        <w:t xml:space="preserve">jppvddokli</w:t>
      </w:r>
      <w:r>
        <w:t xml:space="preserve">)</w:t>
      </w:r>
    </w:p>
    <w:p>
      <w:pPr>
        <w:numPr>
          <w:ilvl w:val="0"/>
          <w:numId w:val="1003"/>
        </w:numPr>
        <w:pStyle w:val="Compact"/>
      </w:pPr>
      <w:r>
        <w:t xml:space="preserve">Assumed Electricity Grid Emission Factor (China): 0.7 kg CO2e/kWh</w:t>
      </w:r>
    </w:p>
    <w:bookmarkEnd w:id="31"/>
    <w:bookmarkStart w:id="32" w:name="X97238579c4eef7715585eef59c1c02747a497f8"/>
    <w:p>
      <w:pPr>
        <w:pStyle w:val="Heading3"/>
      </w:pPr>
      <w:r>
        <w:t xml:space="preserve">2.3 Transportation Logistics - Upstream &amp; Downstream (Scope 3, Categories 4 &amp; 9)</w:t>
      </w:r>
    </w:p>
    <w:p>
      <w:pPr>
        <w:pStyle w:val="FirstParagraph"/>
      </w:pPr>
      <w:r>
        <w:t xml:space="preserve">Logistics data accounts for both inbound material transport (from Europe to China) and outbound product delivery (last-mile):</w:t>
      </w:r>
    </w:p>
    <w:p>
      <w:pPr>
        <w:numPr>
          <w:ilvl w:val="0"/>
          <w:numId w:val="1004"/>
        </w:numPr>
        <w:pStyle w:val="Compact"/>
      </w:pPr>
      <w:r>
        <w:t xml:space="preserve">Main Supply Chain Transport Mode:</w:t>
      </w:r>
      <w:r>
        <w:t xml:space="preserve"> </w:t>
      </w:r>
      <w:r>
        <w:t xml:space="preserve">Ocean Freight (Container Ship)</w:t>
      </w:r>
      <w:r>
        <w:t xml:space="preserve"> </w:t>
      </w:r>
      <w:r>
        <w:t xml:space="preserve">(parameter</w:t>
      </w:r>
      <w:r>
        <w:t xml:space="preserve"> </w:t>
      </w:r>
      <w:r>
        <w:t xml:space="preserve">Select Mode</w:t>
      </w:r>
      <w:r>
        <w:t xml:space="preserve">)</w:t>
      </w:r>
    </w:p>
    <w:p>
      <w:pPr>
        <w:numPr>
          <w:ilvl w:val="0"/>
          <w:numId w:val="1004"/>
        </w:numPr>
        <w:pStyle w:val="Compact"/>
      </w:pPr>
      <w:r>
        <w:t xml:space="preserve">Supply Chain Transport Distance:</w:t>
      </w:r>
      <w:r>
        <w:t xml:space="preserve"> </w:t>
      </w:r>
      <w:r>
        <w:t xml:space="preserve">10,000 km</w:t>
      </w:r>
      <w:r>
        <w:t xml:space="preserve"> </w:t>
      </w:r>
      <w:r>
        <w:t xml:space="preserve">(parameter</w:t>
      </w:r>
      <w:r>
        <w:t xml:space="preserve"> </w:t>
      </w:r>
      <w:r>
        <w:t xml:space="preserve">retfjqqtvr</w:t>
      </w:r>
      <w:r>
        <w:t xml:space="preserve">)</w:t>
      </w:r>
    </w:p>
    <w:p>
      <w:pPr>
        <w:numPr>
          <w:ilvl w:val="0"/>
          <w:numId w:val="1004"/>
        </w:numPr>
        <w:pStyle w:val="Compact"/>
      </w:pPr>
      <w:r>
        <w:t xml:space="preserve">Last-Mile Delivery Channel:</w:t>
      </w:r>
      <w:r>
        <w:t xml:space="preserve"> </w:t>
      </w:r>
      <w:r>
        <w:t xml:space="preserve">Light Commercial Vehicle (Diesel)</w:t>
      </w:r>
      <w:r>
        <w:t xml:space="preserve"> </w:t>
      </w:r>
      <w:r>
        <w:t xml:space="preserve">(parameter</w:t>
      </w:r>
      <w:r>
        <w:t xml:space="preserve"> </w:t>
      </w:r>
      <w:r>
        <w:t xml:space="preserve">Delivery Type</w:t>
      </w:r>
      <w:r>
        <w:t xml:space="preserve">)</w:t>
      </w:r>
    </w:p>
    <w:p>
      <w:pPr>
        <w:numPr>
          <w:ilvl w:val="0"/>
          <w:numId w:val="1004"/>
        </w:numPr>
        <w:pStyle w:val="Compact"/>
      </w:pPr>
      <w:r>
        <w:t xml:space="preserve">Last-Mile Delivery Distance: Assumed 500 km (placeholder for</w:t>
      </w:r>
      <w:r>
        <w:t xml:space="preserve"> </w:t>
      </w:r>
      <w:r>
        <w:t xml:space="preserve">Delivery Type</w:t>
      </w:r>
      <w:r>
        <w:t xml:space="preserve">)</w:t>
      </w:r>
    </w:p>
    <w:p>
      <w:pPr>
        <w:numPr>
          <w:ilvl w:val="0"/>
          <w:numId w:val="1004"/>
        </w:numPr>
        <w:pStyle w:val="Compact"/>
      </w:pPr>
      <w:r>
        <w:t xml:space="preserve">Assumed Ocean Freight Emission Factor: 0.016 kg CO2e/tonne-km</w:t>
      </w:r>
    </w:p>
    <w:p>
      <w:pPr>
        <w:numPr>
          <w:ilvl w:val="0"/>
          <w:numId w:val="1004"/>
        </w:numPr>
        <w:pStyle w:val="Compact"/>
      </w:pPr>
      <w:r>
        <w:t xml:space="preserve">Assumed Light Commercial Vehicle Emission Factor: 0.52197 kg CO2e/tonne-km (DEFRA equivalent for 1.74-3.5 tonne Light Goods Vehicle)</w:t>
      </w:r>
    </w:p>
    <w:bookmarkEnd w:id="32"/>
    <w:bookmarkStart w:id="33" w:name="Xdcfff1e0954f974f41fc87566ac808176f1a7cc"/>
    <w:p>
      <w:pPr>
        <w:pStyle w:val="Heading3"/>
      </w:pPr>
      <w:r>
        <w:t xml:space="preserve">2.4 Product Use Phase - Downstream (Scope 3, Category 11)</w:t>
      </w:r>
    </w:p>
    <w:p>
      <w:pPr>
        <w:pStyle w:val="FirstParagraph"/>
      </w:pPr>
      <w:r>
        <w:t xml:space="preserve">Data for the product\'s lifespan and energy consumption during use:</w:t>
      </w:r>
    </w:p>
    <w:p>
      <w:pPr>
        <w:numPr>
          <w:ilvl w:val="0"/>
          <w:numId w:val="1005"/>
        </w:numPr>
        <w:pStyle w:val="Compact"/>
      </w:pPr>
      <w:r>
        <w:t xml:space="preserve">Product Lifespan:</w:t>
      </w:r>
      <w:r>
        <w:t xml:space="preserve"> </w:t>
      </w:r>
      <w:r>
        <w:t xml:space="preserve">3 years</w:t>
      </w:r>
      <w:r>
        <w:t xml:space="preserve"> </w:t>
      </w:r>
      <w:r>
        <w:t xml:space="preserve">(parameter</w:t>
      </w:r>
      <w:r>
        <w:t xml:space="preserve"> </w:t>
      </w:r>
      <w:r>
        <w:t xml:space="preserve">wkjnwkfeye</w:t>
      </w:r>
      <w:r>
        <w:t xml:space="preserve">)</w:t>
      </w:r>
    </w:p>
    <w:p>
      <w:pPr>
        <w:numPr>
          <w:ilvl w:val="0"/>
          <w:numId w:val="1005"/>
        </w:numPr>
        <w:pStyle w:val="Compact"/>
      </w:pPr>
      <w:r>
        <w:t xml:space="preserve">Energy Consumption in Use:</w:t>
      </w:r>
      <w:r>
        <w:t xml:space="preserve"> </w:t>
      </w:r>
      <w:r>
        <w:t xml:space="preserve">10 kWh/year</w:t>
      </w:r>
      <w:r>
        <w:t xml:space="preserve"> </w:t>
      </w:r>
      <w:r>
        <w:t xml:space="preserve">(parameter</w:t>
      </w:r>
      <w:r>
        <w:t xml:space="preserve"> </w:t>
      </w:r>
      <w:r>
        <w:t xml:space="preserve">ytuhjinkiz</w:t>
      </w:r>
      <w:r>
        <w:t xml:space="preserve">)</w:t>
      </w:r>
    </w:p>
    <w:p>
      <w:pPr>
        <w:numPr>
          <w:ilvl w:val="0"/>
          <w:numId w:val="1005"/>
        </w:numPr>
        <w:pStyle w:val="Compact"/>
      </w:pPr>
      <w:r>
        <w:t xml:space="preserve">Assumed Global Average Electricity Grid Emission Factor for Use Phase: 0.4 kg CO2e/kWh (placeholder for global use)</w:t>
      </w:r>
    </w:p>
    <w:bookmarkEnd w:id="33"/>
    <w:bookmarkStart w:id="34" w:name="Xfd2d51d65e928066d9c307093d8839ac256fb79"/>
    <w:p>
      <w:pPr>
        <w:pStyle w:val="Heading3"/>
      </w:pPr>
      <w:r>
        <w:t xml:space="preserve">2.5 End-of-Life (EoL) Scenarios - Downstream (Scope 3, Category 12)</w:t>
      </w:r>
    </w:p>
    <w:p>
      <w:pPr>
        <w:pStyle w:val="FirstParagraph"/>
      </w:pPr>
      <w:r>
        <w:t xml:space="preserve">End-of-life data reflects circular economy considerations:</w:t>
      </w:r>
    </w:p>
    <w:p>
      <w:pPr>
        <w:numPr>
          <w:ilvl w:val="0"/>
          <w:numId w:val="1006"/>
        </w:numPr>
        <w:pStyle w:val="Compact"/>
      </w:pPr>
      <w:r>
        <w:t xml:space="preserve">Recyclability Percentage:</w:t>
      </w:r>
      <w:r>
        <w:t xml:space="preserve"> </w:t>
      </w:r>
      <w:r>
        <w:t xml:space="preserve">80%</w:t>
      </w:r>
      <w:r>
        <w:t xml:space="preserve"> </w:t>
      </w:r>
      <w:r>
        <w:t xml:space="preserve">(parameter</w:t>
      </w:r>
      <w:r>
        <w:t xml:space="preserve"> </w:t>
      </w:r>
      <w:r>
        <w:t xml:space="preserve">ujjeentqnt</w:t>
      </w:r>
      <w:r>
        <w:t xml:space="preserve">)</w:t>
      </w:r>
    </w:p>
    <w:p>
      <w:pPr>
        <w:numPr>
          <w:ilvl w:val="0"/>
          <w:numId w:val="1006"/>
        </w:numPr>
        <w:pStyle w:val="Compact"/>
      </w:pPr>
      <w:r>
        <w:t xml:space="preserve">Circular/Take-back Programs:</w:t>
      </w:r>
      <w:r>
        <w:t xml:space="preserve"> </w:t>
      </w:r>
      <w:r>
        <w:t xml:space="preserve">vifkdheths</w:t>
      </w:r>
      <w:r>
        <w:t xml:space="preserve"> </w:t>
      </w:r>
      <w:r>
        <w:t xml:space="preserve">(Acknowledged for potential future impact reduction)</w:t>
      </w:r>
    </w:p>
    <w:p>
      <w:pPr>
        <w:numPr>
          <w:ilvl w:val="0"/>
          <w:numId w:val="1006"/>
        </w:numPr>
        <w:pStyle w:val="Compact"/>
      </w:pPr>
      <w:r>
        <w:t xml:space="preserve">Assumed EoL Disposal Emission Factor (for non-recycled portion): 0.5 kg CO2e/kg (for incineration/landfill)</w:t>
      </w:r>
    </w:p>
    <w:p>
      <w:r>
        <w:pict>
          <v:rect style="width:0;height:1.5pt" o:hralign="center" o:hrstd="t" o:hr="t"/>
        </w:pict>
      </w:r>
    </w:p>
    <w:bookmarkEnd w:id="34"/>
    <w:bookmarkEnd w:id="35"/>
    <w:bookmarkStart w:id="74" w:name="emission-calculations-step-4"/>
    <w:p>
      <w:pPr>
        <w:pStyle w:val="Heading2"/>
      </w:pPr>
      <w:r>
        <w:t xml:space="preserve">3. Emission Calculations (Step 4)</w:t>
      </w:r>
    </w:p>
    <w:p>
      <w:pPr>
        <w:pStyle w:val="FirstParagraph"/>
      </w:pPr>
      <w:r>
        <w:t xml:space="preserve">Emissions are calculated by multiplying activity data by relevant emission factors. All results are expressed in kilograms of Carbon Dioxide Equivalent (kg CO2e).</w:t>
      </w:r>
    </w:p>
    <w:bookmarkStart w:id="37" w:name="X3635aa66c9e554f88c493fbe32dbabbdc9425d2"/>
    <w:p>
      <w:pPr>
        <w:pStyle w:val="Heading3"/>
      </w:pPr>
      <w:r>
        <w:t xml:space="preserve">3.1 Materials Acquisition &amp; Pre-processing (Scope 3, Upstream)</w:t>
      </w:r>
    </w:p>
    <w:p>
      <w:pPr>
        <w:pStyle w:val="FirstParagraph"/>
      </w:pPr>
      <w:r>
        <w:t xml:space="preserve">Based on the sum of "Total Carbon" directly from the provided BOM:</w:t>
      </w:r>
    </w:p>
    <w:p>
      <w:pPr>
        <w:pStyle w:val="BodyText"/>
      </w:pPr>
      <w:r>
        <w:t xml:space="preserve">Total Emissions from Materials:</w:t>
      </w:r>
      <w:r>
        <w:t xml:space="preserve"> </w:t>
      </w:r>
      <w:bookmarkStart w:id="36" w:name="calcMaterialImpact"/>
      <w:r>
        <w:t xml:space="preserve">2.335</w:t>
      </w:r>
      <w:bookmarkEnd w:id="36"/>
      <w:r>
        <w:t xml:space="preserve"> </w:t>
      </w:r>
      <w:r>
        <w:t xml:space="preserve">kg CO2e</w:t>
      </w:r>
    </w:p>
    <w:bookmarkEnd w:id="37"/>
    <w:bookmarkStart w:id="46" w:name="manufacturing-emissions"/>
    <w:p>
      <w:pPr>
        <w:pStyle w:val="Heading3"/>
      </w:pPr>
      <w:r>
        <w:t xml:space="preserve">3.2 Manufacturing Emissions</w:t>
      </w:r>
    </w:p>
    <w:bookmarkStart w:id="44" w:name="purchased-electricity-scope-2"/>
    <w:p>
      <w:pPr>
        <w:pStyle w:val="Heading4"/>
      </w:pPr>
      <w:r>
        <w:t xml:space="preserve">3.2.1 Purchased Electricity (Scope 2)</w:t>
      </w:r>
    </w:p>
    <w:p>
      <w:pPr>
        <w:numPr>
          <w:ilvl w:val="0"/>
          <w:numId w:val="1007"/>
        </w:numPr>
        <w:pStyle w:val="Compact"/>
      </w:pPr>
      <w:r>
        <w:t xml:space="preserve">Energy Intensity:</w:t>
      </w:r>
      <w:r>
        <w:t xml:space="preserve"> </w:t>
      </w:r>
      <w:bookmarkStart w:id="38" w:name="param_xrunjipdvq_calc"/>
      <w:r>
        <w:t xml:space="preserve">5</w:t>
      </w:r>
      <w:bookmarkEnd w:id="38"/>
      <w:r>
        <w:t xml:space="preserve"> </w:t>
      </w:r>
      <w:r>
        <w:t xml:space="preserve">kWh/unit</w:t>
      </w:r>
    </w:p>
    <w:p>
      <w:pPr>
        <w:numPr>
          <w:ilvl w:val="0"/>
          <w:numId w:val="1007"/>
        </w:numPr>
        <w:pStyle w:val="Compact"/>
      </w:pPr>
      <w:r>
        <w:t xml:space="preserve">Renewable Energy Usage:</w:t>
      </w:r>
      <w:r>
        <w:t xml:space="preserve"> </w:t>
      </w:r>
      <w:bookmarkStart w:id="39" w:name="param_jppvddokli_calc"/>
      <w:r>
        <w:t xml:space="preserve">75</w:t>
      </w:r>
      <w:bookmarkEnd w:id="39"/>
      <w:r>
        <w:t xml:space="preserve">%</w:t>
      </w:r>
    </w:p>
    <w:p>
      <w:pPr>
        <w:numPr>
          <w:ilvl w:val="0"/>
          <w:numId w:val="1007"/>
        </w:numPr>
        <w:pStyle w:val="Compact"/>
      </w:pPr>
      <w:r>
        <w:t xml:space="preserve">Non-renewable energy share:</w:t>
      </w:r>
      <w:r>
        <w:t xml:space="preserve"> </w:t>
      </w:r>
      <w:bookmarkStart w:id="40" w:name="nonRenewableShare_calc"/>
      <w:r>
        <w:t xml:space="preserve">25</w:t>
      </w:r>
      <w:bookmarkEnd w:id="40"/>
      <w:r>
        <w:t xml:space="preserve">%</w:t>
      </w:r>
    </w:p>
    <w:p>
      <w:pPr>
        <w:numPr>
          <w:ilvl w:val="0"/>
          <w:numId w:val="1007"/>
        </w:numPr>
        <w:pStyle w:val="Compact"/>
      </w:pPr>
      <w:r>
        <w:t xml:space="preserve">Non-renewable energy consumed:</w:t>
      </w:r>
      <w:r>
        <w:t xml:space="preserve"> </w:t>
      </w:r>
      <w:bookmarkStart w:id="41" w:name="nonRenewableEnergy_calc"/>
      <w:r>
        <w:t xml:space="preserve">1.25</w:t>
      </w:r>
      <w:bookmarkEnd w:id="41"/>
      <w:r>
        <w:t xml:space="preserve"> </w:t>
      </w:r>
      <w:r>
        <w:t xml:space="preserve">kWh/unit</w:t>
      </w:r>
    </w:p>
    <w:p>
      <w:pPr>
        <w:numPr>
          <w:ilvl w:val="0"/>
          <w:numId w:val="1007"/>
        </w:numPr>
        <w:pStyle w:val="Compact"/>
      </w:pPr>
      <w:r>
        <w:t xml:space="preserve">Electricity Grid Emission Factor (China):</w:t>
      </w:r>
      <w:r>
        <w:t xml:space="preserve"> </w:t>
      </w:r>
      <w:bookmarkStart w:id="42" w:name="ef_electricity_china_calc"/>
      <w:r>
        <w:t xml:space="preserve">0.7</w:t>
      </w:r>
      <w:bookmarkEnd w:id="42"/>
      <w:r>
        <w:t xml:space="preserve"> </w:t>
      </w:r>
      <w:r>
        <w:t xml:space="preserve">kg CO2e/kWh</w:t>
      </w:r>
    </w:p>
    <w:p>
      <w:pPr>
        <w:pStyle w:val="FirstParagraph"/>
      </w:pPr>
      <w:r>
        <w:t xml:space="preserve">Emissions from Purchased Electricity (Scope 2):</w:t>
      </w:r>
      <w:r>
        <w:t xml:space="preserve"> </w:t>
      </w:r>
      <w:bookmarkStart w:id="43" w:name="calcProductionEnergy"/>
      <w:r>
        <w:t xml:space="preserve">0.875</w:t>
      </w:r>
      <w:bookmarkEnd w:id="43"/>
      <w:r>
        <w:t xml:space="preserve"> </w:t>
      </w:r>
      <w:r>
        <w:t xml:space="preserve">kg CO2e</w:t>
      </w:r>
    </w:p>
    <w:bookmarkEnd w:id="44"/>
    <w:bookmarkStart w:id="45" w:name="direct-emissions-scope-1"/>
    <w:p>
      <w:pPr>
        <w:pStyle w:val="Heading4"/>
      </w:pPr>
      <w:r>
        <w:t xml:space="preserve">3.2.2 Direct Emissions (Scope 1)</w:t>
      </w:r>
    </w:p>
    <w:p>
      <w:pPr>
        <w:pStyle w:val="FirstParagraph"/>
      </w:pPr>
      <w:r>
        <w:t xml:space="preserve">Given the \'factory_gate\' system boundary and the absence of specific direct combustion data for manufacturing, Scope 1 emissions are assumed to be negligible for this PCF. If applicable, these would typically include emissions from owned/controlled boilers, process emissions, or company vehicles within the factory premises.</w:t>
      </w:r>
    </w:p>
    <w:bookmarkEnd w:id="45"/>
    <w:bookmarkEnd w:id="46"/>
    <w:bookmarkStart w:id="61" w:name="transportation-emissions-scope-3"/>
    <w:p>
      <w:pPr>
        <w:pStyle w:val="Heading3"/>
      </w:pPr>
      <w:r>
        <w:t xml:space="preserve">3.3 Transportation Emissions (Scope 3)</w:t>
      </w:r>
    </w:p>
    <w:bookmarkStart w:id="53" w:name="Xc8689aa2534d2c9747a45df675d2dd3fdc20b7c"/>
    <w:p>
      <w:pPr>
        <w:pStyle w:val="Heading4"/>
      </w:pPr>
      <w:r>
        <w:t xml:space="preserve">3.3.1 Upstream Transportation (Materials to Factory - Scope 3, Category 4)</w:t>
      </w:r>
    </w:p>
    <w:p>
      <w:pPr>
        <w:numPr>
          <w:ilvl w:val="0"/>
          <w:numId w:val="1008"/>
        </w:numPr>
        <w:pStyle w:val="Compact"/>
      </w:pPr>
      <w:r>
        <w:t xml:space="preserve">Product Weight:</w:t>
      </w:r>
      <w:r>
        <w:t xml:space="preserve"> </w:t>
      </w:r>
      <w:bookmarkStart w:id="47" w:name="productWeight_transport_calc"/>
      <w:r>
        <w:t xml:space="preserve">0.600</w:t>
      </w:r>
      <w:bookmarkEnd w:id="47"/>
      <w:r>
        <w:t xml:space="preserve"> </w:t>
      </w:r>
      <w:r>
        <w:t xml:space="preserve">kg</w:t>
      </w:r>
    </w:p>
    <w:p>
      <w:pPr>
        <w:numPr>
          <w:ilvl w:val="0"/>
          <w:numId w:val="1008"/>
        </w:numPr>
        <w:pStyle w:val="Compact"/>
      </w:pPr>
      <w:r>
        <w:t xml:space="preserve">Equivalent Product Weight:</w:t>
      </w:r>
      <w:r>
        <w:t xml:space="preserve"> </w:t>
      </w:r>
      <w:bookmarkStart w:id="48" w:name="productWeight_tonnes_transport_calc"/>
      <w:r>
        <w:t xml:space="preserve">0.0006</w:t>
      </w:r>
      <w:bookmarkEnd w:id="48"/>
      <w:r>
        <w:t xml:space="preserve"> </w:t>
      </w:r>
      <w:r>
        <w:t xml:space="preserve">tonnes</w:t>
      </w:r>
    </w:p>
    <w:p>
      <w:pPr>
        <w:numPr>
          <w:ilvl w:val="0"/>
          <w:numId w:val="1008"/>
        </w:numPr>
        <w:pStyle w:val="Compact"/>
      </w:pPr>
      <w:r>
        <w:t xml:space="preserve">Transport Mode:</w:t>
      </w:r>
      <w:r>
        <w:t xml:space="preserve"> </w:t>
      </w:r>
      <w:bookmarkStart w:id="49" w:name="param_transportMode_calc"/>
      <w:r>
        <w:t xml:space="preserve">Ocean Freight (Container Ship)</w:t>
      </w:r>
      <w:bookmarkEnd w:id="49"/>
    </w:p>
    <w:p>
      <w:pPr>
        <w:numPr>
          <w:ilvl w:val="0"/>
          <w:numId w:val="1008"/>
        </w:numPr>
        <w:pStyle w:val="Compact"/>
      </w:pPr>
      <w:r>
        <w:t xml:space="preserve">Transport Distance:</w:t>
      </w:r>
      <w:r>
        <w:t xml:space="preserve"> </w:t>
      </w:r>
      <w:bookmarkStart w:id="50" w:name="param_retfjqqtvr_calc"/>
      <w:r>
        <w:t xml:space="preserve">10,000</w:t>
      </w:r>
      <w:bookmarkEnd w:id="50"/>
      <w:r>
        <w:t xml:space="preserve"> </w:t>
      </w:r>
      <w:r>
        <w:t xml:space="preserve">km</w:t>
      </w:r>
    </w:p>
    <w:p>
      <w:pPr>
        <w:numPr>
          <w:ilvl w:val="0"/>
          <w:numId w:val="1008"/>
        </w:numPr>
        <w:pStyle w:val="Compact"/>
      </w:pPr>
      <w:r>
        <w:t xml:space="preserve">Emission Factor (Ocean Freight):</w:t>
      </w:r>
      <w:r>
        <w:t xml:space="preserve"> </w:t>
      </w:r>
      <w:bookmarkStart w:id="51" w:name="ef_oceanFreight_calc"/>
      <w:r>
        <w:t xml:space="preserve">0.016</w:t>
      </w:r>
      <w:bookmarkEnd w:id="51"/>
      <w:r>
        <w:t xml:space="preserve"> </w:t>
      </w:r>
      <w:r>
        <w:t xml:space="preserve">kg CO2e/tonne-km</w:t>
      </w:r>
    </w:p>
    <w:p>
      <w:pPr>
        <w:pStyle w:val="FirstParagraph"/>
      </w:pPr>
      <w:r>
        <w:t xml:space="preserve">Emissions from Upstream Transportation:</w:t>
      </w:r>
      <w:r>
        <w:t xml:space="preserve"> </w:t>
      </w:r>
      <w:bookmarkStart w:id="52" w:name="calcUpstreamTransport"/>
      <w:r>
        <w:t xml:space="preserve">0.096</w:t>
      </w:r>
      <w:bookmarkEnd w:id="52"/>
      <w:r>
        <w:t xml:space="preserve"> </w:t>
      </w:r>
      <w:r>
        <w:t xml:space="preserve">kg CO2e</w:t>
      </w:r>
    </w:p>
    <w:bookmarkEnd w:id="53"/>
    <w:bookmarkStart w:id="60" w:name="X0ee4e179b4d87a3d8bc19d3f88609105df34370"/>
    <w:p>
      <w:pPr>
        <w:pStyle w:val="Heading4"/>
      </w:pPr>
      <w:r>
        <w:t xml:space="preserve">3.3.2 Downstream Transportation (Last-Mile Delivery - Scope 3, Category 9)</w:t>
      </w:r>
    </w:p>
    <w:p>
      <w:pPr>
        <w:numPr>
          <w:ilvl w:val="0"/>
          <w:numId w:val="1009"/>
        </w:numPr>
        <w:pStyle w:val="Compact"/>
      </w:pPr>
      <w:r>
        <w:t xml:space="preserve">Product Weight:</w:t>
      </w:r>
      <w:r>
        <w:t xml:space="preserve"> </w:t>
      </w:r>
      <w:bookmarkStart w:id="54" w:name="productWeight_lastmile_calc"/>
      <w:r>
        <w:t xml:space="preserve">0.600</w:t>
      </w:r>
      <w:bookmarkEnd w:id="54"/>
      <w:r>
        <w:t xml:space="preserve"> </w:t>
      </w:r>
      <w:r>
        <w:t xml:space="preserve">kg</w:t>
      </w:r>
    </w:p>
    <w:p>
      <w:pPr>
        <w:numPr>
          <w:ilvl w:val="0"/>
          <w:numId w:val="1009"/>
        </w:numPr>
        <w:pStyle w:val="Compact"/>
      </w:pPr>
      <w:r>
        <w:t xml:space="preserve">Equivalent Product Weight:</w:t>
      </w:r>
      <w:r>
        <w:t xml:space="preserve"> </w:t>
      </w:r>
      <w:bookmarkStart w:id="55" w:name="productWeight_tonnes_lastmile_calc"/>
      <w:r>
        <w:t xml:space="preserve">0.0006</w:t>
      </w:r>
      <w:bookmarkEnd w:id="55"/>
      <w:r>
        <w:t xml:space="preserve"> </w:t>
      </w:r>
      <w:r>
        <w:t xml:space="preserve">tonnes</w:t>
      </w:r>
    </w:p>
    <w:p>
      <w:pPr>
        <w:numPr>
          <w:ilvl w:val="0"/>
          <w:numId w:val="1009"/>
        </w:numPr>
        <w:pStyle w:val="Compact"/>
      </w:pPr>
      <w:r>
        <w:t xml:space="preserve">Delivery Channel:</w:t>
      </w:r>
      <w:r>
        <w:t xml:space="preserve"> </w:t>
      </w:r>
      <w:bookmarkStart w:id="56" w:name="param_deliveryType_calc"/>
      <w:r>
        <w:t xml:space="preserve">Light Commercial Vehicle (Diesel)</w:t>
      </w:r>
      <w:bookmarkEnd w:id="56"/>
    </w:p>
    <w:p>
      <w:pPr>
        <w:numPr>
          <w:ilvl w:val="0"/>
          <w:numId w:val="1009"/>
        </w:numPr>
        <w:pStyle w:val="Compact"/>
      </w:pPr>
      <w:r>
        <w:t xml:space="preserve">Delivery Distance:</w:t>
      </w:r>
      <w:r>
        <w:t xml:space="preserve"> </w:t>
      </w:r>
      <w:bookmarkStart w:id="57" w:name="param_lastMileDistance_calc"/>
      <w:r>
        <w:t xml:space="preserve">500</w:t>
      </w:r>
      <w:bookmarkEnd w:id="57"/>
      <w:r>
        <w:t xml:space="preserve"> </w:t>
      </w:r>
      <w:r>
        <w:t xml:space="preserve">km</w:t>
      </w:r>
    </w:p>
    <w:p>
      <w:pPr>
        <w:numPr>
          <w:ilvl w:val="0"/>
          <w:numId w:val="1009"/>
        </w:numPr>
        <w:pStyle w:val="Compact"/>
      </w:pPr>
      <w:r>
        <w:t xml:space="preserve">Emission Factor (Light Commercial Vehicle):</w:t>
      </w:r>
      <w:r>
        <w:t xml:space="preserve"> </w:t>
      </w:r>
      <w:bookmarkStart w:id="58" w:name="ef_lcv_calc"/>
      <w:r>
        <w:t xml:space="preserve">0.52197</w:t>
      </w:r>
      <w:bookmarkEnd w:id="58"/>
      <w:r>
        <w:t xml:space="preserve"> </w:t>
      </w:r>
      <w:r>
        <w:t xml:space="preserve">kg CO2e/tonne-km</w:t>
      </w:r>
    </w:p>
    <w:p>
      <w:pPr>
        <w:pStyle w:val="FirstParagraph"/>
      </w:pPr>
      <w:r>
        <w:t xml:space="preserve">Emissions from Last-Mile Delivery:</w:t>
      </w:r>
      <w:r>
        <w:t xml:space="preserve"> </w:t>
      </w:r>
      <w:bookmarkStart w:id="59" w:name="calcLastMileDelivery"/>
      <w:r>
        <w:t xml:space="preserve">0.157</w:t>
      </w:r>
      <w:bookmarkEnd w:id="59"/>
      <w:r>
        <w:t xml:space="preserve"> </w:t>
      </w:r>
      <w:r>
        <w:t xml:space="preserve">kg CO2e</w:t>
      </w:r>
    </w:p>
    <w:bookmarkEnd w:id="60"/>
    <w:bookmarkEnd w:id="61"/>
    <w:bookmarkStart w:id="66" w:name="use-phase-emissions-scope-3-category-11"/>
    <w:p>
      <w:pPr>
        <w:pStyle w:val="Heading3"/>
      </w:pPr>
      <w:r>
        <w:t xml:space="preserve">3.4 Use Phase Emissions (Scope 3, Category 11)</w:t>
      </w:r>
    </w:p>
    <w:p>
      <w:pPr>
        <w:numPr>
          <w:ilvl w:val="0"/>
          <w:numId w:val="1010"/>
        </w:numPr>
        <w:pStyle w:val="Compact"/>
      </w:pPr>
      <w:r>
        <w:t xml:space="preserve">Product Lifespan:</w:t>
      </w:r>
      <w:r>
        <w:t xml:space="preserve"> </w:t>
      </w:r>
      <w:bookmarkStart w:id="62" w:name="param_wkjnwkfeye_calc"/>
      <w:r>
        <w:t xml:space="preserve">3</w:t>
      </w:r>
      <w:bookmarkEnd w:id="62"/>
      <w:r>
        <w:t xml:space="preserve"> </w:t>
      </w:r>
      <w:r>
        <w:t xml:space="preserve">years</w:t>
      </w:r>
    </w:p>
    <w:p>
      <w:pPr>
        <w:numPr>
          <w:ilvl w:val="0"/>
          <w:numId w:val="1010"/>
        </w:numPr>
        <w:pStyle w:val="Compact"/>
      </w:pPr>
      <w:r>
        <w:t xml:space="preserve">Energy Consumption in Use:</w:t>
      </w:r>
      <w:r>
        <w:t xml:space="preserve"> </w:t>
      </w:r>
      <w:bookmarkStart w:id="63" w:name="param_ytuhjinkiz_calc"/>
      <w:r>
        <w:t xml:space="preserve">10</w:t>
      </w:r>
      <w:bookmarkEnd w:id="63"/>
      <w:r>
        <w:t xml:space="preserve"> </w:t>
      </w:r>
      <w:r>
        <w:t xml:space="preserve">kWh/year</w:t>
      </w:r>
    </w:p>
    <w:p>
      <w:pPr>
        <w:numPr>
          <w:ilvl w:val="0"/>
          <w:numId w:val="1010"/>
        </w:numPr>
        <w:pStyle w:val="Compact"/>
      </w:pPr>
      <w:r>
        <w:t xml:space="preserve">Electricity Grid Emission Factor (Global Average):</w:t>
      </w:r>
      <w:r>
        <w:t xml:space="preserve"> </w:t>
      </w:r>
      <w:bookmarkStart w:id="64" w:name="ef_electricity_use_calc"/>
      <w:r>
        <w:t xml:space="preserve">0.4</w:t>
      </w:r>
      <w:bookmarkEnd w:id="64"/>
      <w:r>
        <w:t xml:space="preserve"> </w:t>
      </w:r>
      <w:r>
        <w:t xml:space="preserve">kg CO2e/kWh</w:t>
      </w:r>
    </w:p>
    <w:p>
      <w:pPr>
        <w:pStyle w:val="FirstParagraph"/>
      </w:pPr>
      <w:r>
        <w:t xml:space="preserve">Emissions from Use Phase:</w:t>
      </w:r>
      <w:r>
        <w:t xml:space="preserve"> </w:t>
      </w:r>
      <w:bookmarkStart w:id="65" w:name="calcUsePhase"/>
      <w:r>
        <w:t xml:space="preserve">12.000</w:t>
      </w:r>
      <w:bookmarkEnd w:id="65"/>
      <w:r>
        <w:t xml:space="preserve"> </w:t>
      </w:r>
      <w:r>
        <w:t xml:space="preserve">kg CO2e</w:t>
      </w:r>
    </w:p>
    <w:bookmarkEnd w:id="66"/>
    <w:bookmarkStart w:id="73" w:name="Xbb418487dd7cda9440b041b0bddba3a7ee359ea"/>
    <w:p>
      <w:pPr>
        <w:pStyle w:val="Heading3"/>
      </w:pPr>
      <w:r>
        <w:t xml:space="preserve">3.5 End-of-Life (EoL) Emissions (Scope 3, Category 12)</w:t>
      </w:r>
    </w:p>
    <w:p>
      <w:pPr>
        <w:numPr>
          <w:ilvl w:val="0"/>
          <w:numId w:val="1011"/>
        </w:numPr>
        <w:pStyle w:val="Compact"/>
      </w:pPr>
      <w:r>
        <w:t xml:space="preserve">Product Weight:</w:t>
      </w:r>
      <w:r>
        <w:t xml:space="preserve"> </w:t>
      </w:r>
      <w:bookmarkStart w:id="67" w:name="productWeight_eol_calc"/>
      <w:r>
        <w:t xml:space="preserve">0.600</w:t>
      </w:r>
      <w:bookmarkEnd w:id="67"/>
      <w:r>
        <w:t xml:space="preserve"> </w:t>
      </w:r>
      <w:r>
        <w:t xml:space="preserve">kg</w:t>
      </w:r>
    </w:p>
    <w:p>
      <w:pPr>
        <w:numPr>
          <w:ilvl w:val="0"/>
          <w:numId w:val="1011"/>
        </w:numPr>
        <w:pStyle w:val="Compact"/>
      </w:pPr>
      <w:r>
        <w:t xml:space="preserve">Recyclability Percentage:</w:t>
      </w:r>
      <w:r>
        <w:t xml:space="preserve"> </w:t>
      </w:r>
      <w:bookmarkStart w:id="68" w:name="param_ujjeentqnt_calc"/>
      <w:r>
        <w:t xml:space="preserve">80</w:t>
      </w:r>
      <w:bookmarkEnd w:id="68"/>
      <w:r>
        <w:t xml:space="preserve">%</w:t>
      </w:r>
    </w:p>
    <w:p>
      <w:pPr>
        <w:numPr>
          <w:ilvl w:val="0"/>
          <w:numId w:val="1011"/>
        </w:numPr>
        <w:pStyle w:val="Compact"/>
      </w:pPr>
      <w:r>
        <w:t xml:space="preserve">Non-recycled portion:</w:t>
      </w:r>
      <w:r>
        <w:t xml:space="preserve"> </w:t>
      </w:r>
      <w:bookmarkStart w:id="69" w:name="nonRecycledPortion_calc"/>
      <w:r>
        <w:t xml:space="preserve">20</w:t>
      </w:r>
      <w:bookmarkEnd w:id="69"/>
      <w:r>
        <w:t xml:space="preserve">%</w:t>
      </w:r>
    </w:p>
    <w:p>
      <w:pPr>
        <w:numPr>
          <w:ilvl w:val="0"/>
          <w:numId w:val="1011"/>
        </w:numPr>
        <w:pStyle w:val="Compact"/>
      </w:pPr>
      <w:r>
        <w:t xml:space="preserve">EoL Disposal Emission Factor:</w:t>
      </w:r>
      <w:r>
        <w:t xml:space="preserve"> </w:t>
      </w:r>
      <w:bookmarkStart w:id="70" w:name="ef_eol_calc"/>
      <w:r>
        <w:t xml:space="preserve">0.5</w:t>
      </w:r>
      <w:bookmarkEnd w:id="70"/>
      <w:r>
        <w:t xml:space="preserve"> </w:t>
      </w:r>
      <w:r>
        <w:t xml:space="preserve">kg CO2e/kg</w:t>
      </w:r>
    </w:p>
    <w:p>
      <w:pPr>
        <w:numPr>
          <w:ilvl w:val="0"/>
          <w:numId w:val="1011"/>
        </w:numPr>
        <w:pStyle w:val="Compact"/>
      </w:pPr>
      <w:r>
        <w:t xml:space="preserve">Circular/Take-back Programs:</w:t>
      </w:r>
      <w:r>
        <w:t xml:space="preserve"> </w:t>
      </w:r>
      <w:bookmarkStart w:id="71" w:name="param_vifkdheths_calc"/>
      <w:r>
        <w:t xml:space="preserve">vifkdheths</w:t>
      </w:r>
      <w:bookmarkEnd w:id="71"/>
      <w:r>
        <w:t xml:space="preserve"> </w:t>
      </w:r>
      <w:r>
        <w:t xml:space="preserve">(Acknowledged for potential future reductions)</w:t>
      </w:r>
    </w:p>
    <w:p>
      <w:pPr>
        <w:pStyle w:val="FirstParagraph"/>
      </w:pPr>
      <w:r>
        <w:t xml:space="preserve">Emissions from End-of-Life:</w:t>
      </w:r>
      <w:r>
        <w:t xml:space="preserve"> </w:t>
      </w:r>
      <w:bookmarkStart w:id="72" w:name="calcEoL"/>
      <w:r>
        <w:t xml:space="preserve">0.060</w:t>
      </w:r>
      <w:bookmarkEnd w:id="72"/>
      <w:r>
        <w:t xml:space="preserve"> </w:t>
      </w:r>
      <w:r>
        <w:t xml:space="preserve">kg CO2e</w:t>
      </w:r>
    </w:p>
    <w:p>
      <w:r>
        <w:pict>
          <v:rect style="width:0;height:1.5pt" o:hralign="center" o:hrstd="t" o:hr="t"/>
        </w:pict>
      </w:r>
    </w:p>
    <w:bookmarkEnd w:id="73"/>
    <w:bookmarkEnd w:id="74"/>
    <w:bookmarkStart w:id="75" w:name="total-product-carbon-footprint"/>
    <w:p>
      <w:pPr>
        <w:pStyle w:val="Heading2"/>
      </w:pPr>
      <w:r>
        <w:t xml:space="preserve">4. Total Product Carbon Footprint</w:t>
      </w:r>
    </w:p>
    <w:p>
      <w:pPr>
        <w:pStyle w:val="FirstParagraph"/>
      </w:pPr>
      <w:r>
        <w:t xml:space="preserve">The aggregated Product Carbon Footprint for one functional unit of pofwperkiu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 - Category 1)</w:t>
            </w:r>
          </w:p>
        </w:tc>
        <w:tc>
          <w:tcPr/>
          <w:p>
            <w:pPr>
              <w:pStyle w:val="Compact"/>
              <w:jc w:val="left"/>
            </w:pPr>
            <w:r>
              <w:t xml:space="preserve">2.335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0.875</w:t>
            </w:r>
          </w:p>
        </w:tc>
      </w:tr>
      <w:tr>
        <w:tc>
          <w:tcPr/>
          <w:p>
            <w:pPr>
              <w:pStyle w:val="Compact"/>
              <w:jc w:val="left"/>
            </w:pPr>
            <w:r>
              <w:t xml:space="preserve">Upstream Transportation</w:t>
            </w:r>
          </w:p>
        </w:tc>
        <w:tc>
          <w:tcPr/>
          <w:p>
            <w:pPr>
              <w:pStyle w:val="Compact"/>
              <w:jc w:val="left"/>
            </w:pPr>
            <w:r>
              <w:t xml:space="preserve">Scope 3 (Upstream - Category 4)</w:t>
            </w:r>
          </w:p>
        </w:tc>
        <w:tc>
          <w:tcPr/>
          <w:p>
            <w:pPr>
              <w:pStyle w:val="Compact"/>
              <w:jc w:val="left"/>
            </w:pPr>
            <w:r>
              <w:t xml:space="preserve">0.096</w:t>
            </w:r>
          </w:p>
        </w:tc>
      </w:tr>
      <w:tr>
        <w:tc>
          <w:tcPr/>
          <w:p>
            <w:pPr>
              <w:pStyle w:val="Compact"/>
              <w:jc w:val="left"/>
            </w:pPr>
            <w:r>
              <w:t xml:space="preserve">Downstream Transportation (Last-Mile)</w:t>
            </w:r>
          </w:p>
        </w:tc>
        <w:tc>
          <w:tcPr/>
          <w:p>
            <w:pPr>
              <w:pStyle w:val="Compact"/>
              <w:jc w:val="left"/>
            </w:pPr>
            <w:r>
              <w:t xml:space="preserve">Scope 3 (Downstream - Category 9)</w:t>
            </w:r>
          </w:p>
        </w:tc>
        <w:tc>
          <w:tcPr/>
          <w:p>
            <w:pPr>
              <w:pStyle w:val="Compact"/>
              <w:jc w:val="left"/>
            </w:pPr>
            <w:r>
              <w:t xml:space="preserve">0.157</w:t>
            </w:r>
          </w:p>
        </w:tc>
      </w:tr>
      <w:tr>
        <w:tc>
          <w:tcPr/>
          <w:p>
            <w:pPr>
              <w:pStyle w:val="Compact"/>
              <w:jc w:val="left"/>
            </w:pPr>
            <w:r>
              <w:t xml:space="preserve">Use Phase</w:t>
            </w:r>
          </w:p>
        </w:tc>
        <w:tc>
          <w:tcPr/>
          <w:p>
            <w:pPr>
              <w:pStyle w:val="Compact"/>
              <w:jc w:val="left"/>
            </w:pPr>
            <w:r>
              <w:t xml:space="preserve">Scope 3 (Downstream - Category 11)</w:t>
            </w:r>
          </w:p>
        </w:tc>
        <w:tc>
          <w:tcPr/>
          <w:p>
            <w:pPr>
              <w:pStyle w:val="Compact"/>
              <w:jc w:val="left"/>
            </w:pPr>
            <w:r>
              <w:t xml:space="preserve">12.000</w:t>
            </w:r>
          </w:p>
        </w:tc>
      </w:tr>
      <w:tr>
        <w:tc>
          <w:tcPr/>
          <w:p>
            <w:pPr>
              <w:pStyle w:val="Compact"/>
              <w:jc w:val="left"/>
            </w:pPr>
            <w:r>
              <w:t xml:space="preserve">End-of-Life</w:t>
            </w:r>
          </w:p>
        </w:tc>
        <w:tc>
          <w:tcPr/>
          <w:p>
            <w:pPr>
              <w:pStyle w:val="Compact"/>
              <w:jc w:val="left"/>
            </w:pPr>
            <w:r>
              <w:t xml:space="preserve">Scope 3 (Downstream - Category 12)</w:t>
            </w:r>
          </w:p>
        </w:tc>
        <w:tc>
          <w:tcPr/>
          <w:p>
            <w:pPr>
              <w:pStyle w:val="Compact"/>
              <w:jc w:val="left"/>
            </w:pPr>
            <w:r>
              <w:t xml:space="preserve">0.060</w:t>
            </w:r>
          </w:p>
        </w:tc>
      </w:tr>
      <w:tr>
        <w:tc>
          <w:tcPr>
            <w:gridSpan w:val="2"/>
          </w:tcPr>
          <w:p>
            <w:pPr>
              <w:pStyle w:val="Compact"/>
              <w:jc w:val="right"/>
            </w:pPr>
            <w:r>
              <w:t xml:space="preserve">Total Product Carbon Footprint (kg CO2e):</w:t>
            </w:r>
          </w:p>
        </w:tc>
        <w:tc>
          <w:tcPr/>
          <w:p>
            <w:pPr>
              <w:pStyle w:val="Compact"/>
              <w:jc w:val="left"/>
            </w:pPr>
            <w:r>
              <w:t xml:space="preserve">15.523</w:t>
            </w:r>
          </w:p>
        </w:tc>
      </w:tr>
    </w:tbl>
    <w:p>
      <w:r>
        <w:pict>
          <v:rect style="width:0;height:1.5pt" o:hralign="center" o:hrstd="t" o:hr="t"/>
        </w:pict>
      </w:r>
    </w:p>
    <w:bookmarkEnd w:id="75"/>
    <w:bookmarkStart w:id="82" w:name="review-report-hotspots-and-reliability"/>
    <w:p>
      <w:pPr>
        <w:pStyle w:val="Heading2"/>
      </w:pPr>
      <w:r>
        <w:t xml:space="preserve">5. Review &amp; Report (Hotspots and Reliability)</w:t>
      </w:r>
    </w:p>
    <w:bookmarkStart w:id="79" w:name="carbon-hotspots"/>
    <w:p>
      <w:pPr>
        <w:pStyle w:val="Heading3"/>
      </w:pPr>
      <w:r>
        <w:t xml:space="preserve">5.1 Carbon Hotspots</w:t>
      </w:r>
    </w:p>
    <w:p>
      <w:pPr>
        <w:pStyle w:val="FirstParagraph"/>
      </w:pPr>
      <w:r>
        <w:t xml:space="preserve">Based on the calculations, the primary carbon hotspots for pofwperkiu are:</w:t>
      </w:r>
    </w:p>
    <w:p>
      <w:pPr>
        <w:numPr>
          <w:ilvl w:val="0"/>
          <w:numId w:val="1012"/>
        </w:numPr>
        <w:pStyle w:val="Compact"/>
      </w:pPr>
      <w:bookmarkStart w:id="76" w:name="hotspot1"/>
      <w:r>
        <w:t xml:space="preserve">The</w:t>
      </w:r>
      <w:r>
        <w:t xml:space="preserve"> </w:t>
      </w:r>
      <w:r>
        <w:t xml:space="preserve">Use Phase</w:t>
      </w:r>
      <w:r>
        <w:t xml:space="preserve"> </w:t>
      </w:r>
      <w:r>
        <w:t xml:space="preserve">(12.000 kg CO2e), representing approximately 77.3% of the total PCF. This is largely driven by the product\'s energy consumption over its estimated lifespan.</w:t>
      </w:r>
      <w:bookmarkEnd w:id="76"/>
    </w:p>
    <w:p>
      <w:pPr>
        <w:numPr>
          <w:ilvl w:val="0"/>
          <w:numId w:val="1012"/>
        </w:numPr>
        <w:pStyle w:val="Compact"/>
      </w:pPr>
      <w:bookmarkStart w:id="77" w:name="hotspot2"/>
      <w:r>
        <w:t xml:space="preserve">The</w:t>
      </w:r>
      <w:r>
        <w:t xml:space="preserve"> </w:t>
      </w:r>
      <w:r>
        <w:t xml:space="preserve">Materials Acquisition &amp; Pre-processing</w:t>
      </w:r>
      <w:r>
        <w:t xml:space="preserve"> </w:t>
      </w:r>
      <w:r>
        <w:t xml:space="preserve">phase (2.335 kg CO2e), contributing approximately 15.0% to the total PCF. This highlights the embodied emissions within the raw materials and components, particularly the circuit board.</w:t>
      </w:r>
      <w:bookmarkEnd w:id="77"/>
    </w:p>
    <w:p>
      <w:pPr>
        <w:numPr>
          <w:ilvl w:val="0"/>
          <w:numId w:val="1012"/>
        </w:numPr>
        <w:pStyle w:val="Compact"/>
      </w:pPr>
      <w:bookmarkStart w:id="78" w:name="hotspot3"/>
      <w:r>
        <w:t xml:space="preserve">The</w:t>
      </w:r>
      <w:r>
        <w:t xml:space="preserve"> </w:t>
      </w:r>
      <w:r>
        <w:t xml:space="preserve">Manufacturing (Purchased Electricity)</w:t>
      </w:r>
      <w:r>
        <w:t xml:space="preserve"> </w:t>
      </w:r>
      <w:r>
        <w:t xml:space="preserve">phase (0.875 kg CO2e), accounting for approximately 5.6% of the total PCF, even with a significant portion of renewable energy usage.</w:t>
      </w:r>
      <w:bookmarkEnd w:id="78"/>
    </w:p>
    <w:p>
      <w:pPr>
        <w:pStyle w:val="FirstParagraph"/>
      </w:pPr>
      <w:r>
        <w:t xml:space="preserve">Targeted interventions in these areas are recommended for significant emission reductions.</w:t>
      </w:r>
    </w:p>
    <w:bookmarkEnd w:id="79"/>
    <w:bookmarkStart w:id="80" w:name="data-reliability-and-limitations"/>
    <w:p>
      <w:pPr>
        <w:pStyle w:val="Heading3"/>
      </w:pPr>
      <w:r>
        <w:t xml:space="preserve">5.2 Data Reliability and Limitations</w:t>
      </w:r>
    </w:p>
    <w:p>
      <w:pPr>
        <w:pStyle w:val="FirstParagraph"/>
      </w:pPr>
      <w:r>
        <w:t xml:space="preserve">This PCF analysis relies on a combination of primary data (from the Detailed BOM) and secondary data (industry-average emission factors). The accuracy of the results is directly influenced by the quality and specificity of the input data. The use of placeholder values for certain parameters (e.g., specific transport distances, global average electricity grid mix for the use phase) introduces a degree of uncertainty, which is acknowledged. Future iterations should aim to replace placeholder data with more specific, primary data where possible to improve accuracy and reduce uncertainty.</w:t>
      </w:r>
    </w:p>
    <w:p>
      <w:pPr>
        <w:pStyle w:val="BodyText"/>
      </w:pPr>
      <w:r>
        <w:t xml:space="preserve">The commitment to 95% Scope 3 coverage under the 2026 GHG Protocol requirements necessitates continuous data improvement and diligent tracking of all value chain emissions. The application of the GHG Protocol\'s Land Sector and Removals (LSR) Standard is acknowledged, particularly for any biogenic materials within the supply chain. However, without specific land-use data, the quantitative impact of this standard on the current PCF is limited to its conceptual inclusion.</w:t>
      </w:r>
    </w:p>
    <w:bookmarkEnd w:id="80"/>
    <w:bookmarkStart w:id="81" w:name="recommendations-for-improvement"/>
    <w:p>
      <w:pPr>
        <w:pStyle w:val="Heading3"/>
      </w:pPr>
      <w:r>
        <w:t xml:space="preserve">5.3 Recommendations for Improvement</w:t>
      </w:r>
    </w:p>
    <w:p>
      <w:pPr>
        <w:numPr>
          <w:ilvl w:val="0"/>
          <w:numId w:val="1013"/>
        </w:numPr>
        <w:pStyle w:val="Compact"/>
      </w:pPr>
      <w:r>
        <w:t xml:space="preserve">**Primary Data Collection:** Prioritize gathering specific, primary data for placeholder parameters, especially actual transport distances and modes across the entire supply chain, and granular energy consumption patterns in the product\'s use phase.</w:t>
      </w:r>
    </w:p>
    <w:p>
      <w:pPr>
        <w:numPr>
          <w:ilvl w:val="0"/>
          <w:numId w:val="1013"/>
        </w:numPr>
        <w:pStyle w:val="Compact"/>
      </w:pPr>
      <w:r>
        <w:t xml:space="preserve">**Supplier Engagement:** Collaborate with suppliers to obtain product-specific or process-specific emission factors for materials and components beyond the "Total Carbon" provided in the BOM, focusing on high-impact materials.</w:t>
      </w:r>
    </w:p>
    <w:p>
      <w:pPr>
        <w:numPr>
          <w:ilvl w:val="0"/>
          <w:numId w:val="1013"/>
        </w:numPr>
        <w:pStyle w:val="Compact"/>
      </w:pPr>
      <w:r>
        <w:t xml:space="preserve">**Lifecycle Optimization:** Investigate opportunities to optimize material selection (e.g., lower-carbon alternatives), manufacturing processes (e.g., increased on-site renewable energy generation, improved energy efficiency), logistics (e.g., more efficient transport modes, optimized routes, localized sourcing), and end-of-life management (e.g., enhanced recyclability, designing for disassembly, and further development of circular programs like</w:t>
      </w:r>
      <w:r>
        <w:t xml:space="preserve"> </w:t>
      </w:r>
      <w:r>
        <w:t xml:space="preserve">vifkdheths</w:t>
      </w:r>
      <w:r>
        <w:t xml:space="preserve">).</w:t>
      </w:r>
    </w:p>
    <w:p>
      <w:pPr>
        <w:numPr>
          <w:ilvl w:val="0"/>
          <w:numId w:val="1013"/>
        </w:numPr>
        <w:pStyle w:val="Compact"/>
      </w:pPr>
      <w:r>
        <w:t xml:space="preserve">**Use Phase Design:** Explore product design changes to reduce energy consumption during the use phase or to enable the use of renewable energy by end-users.</w:t>
      </w:r>
    </w:p>
    <w:p>
      <w:pPr>
        <w:numPr>
          <w:ilvl w:val="0"/>
          <w:numId w:val="1013"/>
        </w:numPr>
        <w:pStyle w:val="Compact"/>
      </w:pPr>
      <w:r>
        <w:t xml:space="preserve">**Verification:** Consider pursuing third-party verification of the PCF to enhance the credibility and robustness of the reported emissions and to meet evolving regulatory and stakeholder expectations.</w:t>
      </w:r>
    </w:p>
    <w:p>
      <w:r>
        <w:pict>
          <v:rect style="width:0;height:1.5pt" o:hralign="center" o:hrstd="t" o:hr="t"/>
        </w:pict>
      </w:r>
    </w:p>
    <w:p>
      <w:pPr>
        <w:pStyle w:val="FirstParagraph"/>
      </w:pPr>
      <w:r>
        <w:t xml:space="preserve">Confidential - Internal Use Only |</w:t>
      </w:r>
      <w:r>
        <w:t xml:space="preserve"> </w:t>
      </w:r>
    </w:p>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pofwperkiu</dc:title>
  <dc:creator/>
  <dc:description>High-detail Product Carbon Footprint (PCF) analysis report for pofwperkiu, adhering to GHG Protocol standards and 2026 updates, performed by rwpowenpmr for vudimmuirn.</dc:description>
  <dc:language>en</dc:language>
  <cp:keywords/>
  <dcterms:created xsi:type="dcterms:W3CDTF">2026-07-15T03:06:27Z</dcterms:created>
  <dcterms:modified xsi:type="dcterms:W3CDTF">2026-07-15T03:06:27Z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