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pnnpurssmp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pnnpurssmp</w:t>
      </w:r>
    </w:p>
    <w:p>
      <w:pPr>
        <w:pStyle w:val="BodyText"/>
      </w:pPr>
      <w:r>
        <w:rPr>
          <w:bCs/>
          <w:b/>
        </w:rPr>
        <w:t xml:space="preserve">Company Name:</w:t>
      </w:r>
      <w:r>
        <w:t xml:space="preserve"> </w:t>
      </w:r>
      <w:r>
        <w:t xml:space="preserve">devkioezep</w:t>
      </w:r>
    </w:p>
    <w:p>
      <w:pPr>
        <w:pStyle w:val="BodyText"/>
      </w:pPr>
      <w:r>
        <w:rPr>
          <w:bCs/>
          <w:b/>
        </w:rPr>
        <w:t xml:space="preserve">Senior Sustainability Consultant:</w:t>
      </w:r>
      <w:r>
        <w:t xml:space="preserve"> </w:t>
      </w:r>
      <w:r>
        <w:t xml:space="preserve">xzznxuindu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industry-standard methodologies.</w:t>
      </w:r>
      <w:r>
        <w:t xml:space="preserve"> </w:t>
      </w:r>
      <w:r>
        <w:t xml:space="preserve">Emission factors and specific data points are illustrative where actual proprietary data was not provided</w:t>
      </w:r>
      <w:r>
        <w:t xml:space="preserve"> </w:t>
      </w:r>
      <w:r>
        <w:t xml:space="preserve">for placeholder parameters. This analysis aims to provide a high-level understanding of the product\'s</w:t>
      </w:r>
      <w:r>
        <w:t xml:space="preserve"> </w:t>
      </w:r>
      <w:r>
        <w:t xml:space="preserve">carbon footprint and potential hotspots.</w:t>
      </w:r>
    </w:p>
    <w:bookmarkEnd w:id="20"/>
    <w:bookmarkStart w:id="21" w:name="X2783db1dcedd82089b3534baba34d2b71d38a93"/>
    <w:p>
      <w:pPr>
        <w:pStyle w:val="Heading1"/>
      </w:pPr>
      <w:r>
        <w:t xml:space="preserve">Product Carbon Footprint Analysis for pnnpurssmp</w:t>
      </w:r>
    </w:p>
    <w:p>
      <w:pPr>
        <w:pStyle w:val="FirstParagraph"/>
      </w:pPr>
      <w:r>
        <w:t xml:space="preserve">Generated Date: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\'pnnpurssmp\', manufactured by devkioezep,</w:t>
      </w:r>
      <w:r>
        <w:t xml:space="preserve"> </w:t>
      </w:r>
      <w:r>
        <w:t xml:space="preserve">conducted by Senior Sustainability Consultant xzznxuindu. The analysis adheres to the GHG Protocol and incorporates</w:t>
      </w:r>
      <w:r>
        <w:t xml:space="preserve"> </w:t>
      </w:r>
      <w:r>
        <w:t xml:space="preserve">the latest 2026 Land Sector and Removals (LSR) Standard considerations. The total cradle-to-grave equivalent emissions</w:t>
      </w:r>
      <w:r>
        <w:t xml:space="preserve"> </w:t>
      </w:r>
      <w:r>
        <w:t xml:space="preserve">for one functional unit of pnnpurssmp are calculated to be approximately</w:t>
      </w:r>
      <w:r>
        <w:t xml:space="preserve"> </w:t>
      </w:r>
      <w:r>
        <w:rPr>
          <w:bCs/>
          <w:b/>
        </w:rPr>
        <w:t xml:space="preserve">XX.XX kg CO2e</w:t>
      </w:r>
      <w:r>
        <w:t xml:space="preserve">.</w:t>
      </w:r>
      <w:r>
        <w:t xml:space="preserve"> </w:t>
      </w:r>
      <w:r>
        <w:t xml:space="preserve">Key hotspots were identified in material acquisition and the use phase, offering prime opportunities for emission reduction strategies.</w:t>
      </w:r>
      <w:r>
        <w:t xml:space="preserve"> </w:t>
      </w:r>
      <w:r>
        <w:t xml:space="preserve">This comprehensive assessment provides devkioezep with actionable insights to enhance the sustainability performance of pnnpurssmp.</w:t>
      </w:r>
    </w:p>
    <w:bookmarkEnd w:id="22"/>
    <w:bookmarkStart w:id="25" w:name="methodology-and-scope-definition"/>
    <w:p>
      <w:pPr>
        <w:pStyle w:val="Heading2"/>
      </w:pPr>
      <w:r>
        <w:t xml:space="preserve">2. Methodology and Scope Definition</w:t>
      </w:r>
    </w:p>
    <w:p>
      <w:pPr>
        <w:pStyle w:val="FirstParagraph"/>
      </w:pPr>
      <w:r>
        <w:t xml:space="preserve">The Product Carbon Footprint (PCF) analysis for pnnpurssmp follows a life cycle assessment (LCA) approach,</w:t>
      </w:r>
      <w:r>
        <w:t xml:space="preserve"> </w:t>
      </w:r>
      <w:r>
        <w:t xml:space="preserve">quantifying the greenhouse gas (GHG) emissions associated with the product throughout its life cycle.</w:t>
      </w:r>
      <w:r>
        <w:t xml:space="preserve"> </w:t>
      </w:r>
      <w:r>
        <w:t xml:space="preserve">The methodology strictly adheres to the GHG Protocol Product Standard, covering all relevant emission scopes.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pnnpurssmp. This represents the quantified performance of the product for comparative purposes.</w:t>
      </w:r>
    </w:p>
    <w:p>
      <w:pPr>
        <w:numPr>
          <w:ilvl w:val="0"/>
          <w:numId w:val="1001"/>
        </w:numPr>
        <w:pStyle w:val="Compact"/>
      </w:pPr>
      <w:r>
        <w:rPr>
          <w:bCs/>
          <w:b/>
        </w:rPr>
        <w:t xml:space="preserve">System Boundary:</w:t>
      </w:r>
      <w:r>
        <w:t xml:space="preserve"> </w:t>
      </w:r>
      <w:r>
        <w:t xml:space="preserve">While the primary boundary for direct operational control and reporting for devkioezep is defined as "factory_gate" (encompassing upstream material extraction, processing, and manufacturing up to the point the product leaves the factory), this comprehensive PCF analysis extends to cover downstream logistics, the product\'s use phase, and its end-of-life treatment. This approach effectively provides a "cradle-to-grave" perspective for pnnpurssmp\'s total carbon impact, categorizing downstream elements under Scope 3.</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downstream distribution).</w:t>
      </w:r>
    </w:p>
    <w:p>
      <w:pPr>
        <w:numPr>
          <w:ilvl w:val="0"/>
          <w:numId w:val="1001"/>
        </w:numPr>
        <w:pStyle w:val="Compact"/>
      </w:pPr>
      <w:r>
        <w:rPr>
          <w:bCs/>
          <w:b/>
        </w:rPr>
        <w:t xml:space="preserve">Accounting Standard:</w:t>
      </w:r>
      <w:r>
        <w:t xml:space="preserve"> </w:t>
      </w:r>
      <w:r>
        <w:t xml:space="preserve">GHG Protocol (Product Standard). This analysis ensures emissions are categorized into Scope 1 (direct emissions), Scope 2 (purchased energy), and Scope 3 (value chain emissions). Furthermore, the 2026 Land Sector and Removals (LSR) Standard for land use and carbon removals has been considered in the broader context of potential land-related impacts.</w:t>
      </w:r>
    </w:p>
    <w:p>
      <w:pPr>
        <w:numPr>
          <w:ilvl w:val="0"/>
          <w:numId w:val="1001"/>
        </w:numPr>
        <w:pStyle w:val="Compact"/>
      </w:pPr>
      <w:r>
        <w:rPr>
          <w:bCs/>
          <w:b/>
        </w:rPr>
        <w:t xml:space="preserve">Allocation:</w:t>
      </w:r>
      <w:r>
        <w:t xml:space="preserve"> </w:t>
      </w:r>
      <w:r>
        <w:t xml:space="preserve">Where necessary, allocation has been applied based on mass for co-products or economic value for shared processes to ensure fairness and accuracy in attributing emissions.</w:t>
      </w:r>
    </w:p>
    <w:bookmarkEnd w:id="23"/>
    <w:bookmarkStart w:id="24" w:name="map-lifecycle-lci-inventory-stages"/>
    <w:p>
      <w:pPr>
        <w:pStyle w:val="Heading3"/>
      </w:pPr>
      <w:r>
        <w:t xml:space="preserve">2.2. Map Lifecycle (LCI Inventory Stages)</w:t>
      </w:r>
    </w:p>
    <w:p>
      <w:pPr>
        <w:pStyle w:val="FirstParagraph"/>
      </w:pPr>
      <w:r>
        <w:t xml:space="preserve">The lifecycle of pnnpurssmp has been mapped across the following stages, encompassing a cradle-to-grave perspective:</w:t>
      </w:r>
    </w:p>
    <w:p>
      <w:pPr>
        <w:numPr>
          <w:ilvl w:val="0"/>
          <w:numId w:val="1002"/>
        </w:numPr>
        <w:pStyle w:val="Compact"/>
      </w:pPr>
      <w:r>
        <w:rPr>
          <w:bCs/>
          <w:b/>
        </w:rPr>
        <w:t xml:space="preserve">Material Acquisition &amp; Processing (Upstream):</w:t>
      </w:r>
      <w:r>
        <w:t xml:space="preserve"> </w:t>
      </w:r>
      <w:r>
        <w:t xml:space="preserve">Extraction of raw materials, refining, and manufacturing of components detailed in the Bill of Materials (BOM). (Scope 3, Category 1)</w:t>
      </w:r>
    </w:p>
    <w:p>
      <w:pPr>
        <w:numPr>
          <w:ilvl w:val="0"/>
          <w:numId w:val="1002"/>
        </w:numPr>
        <w:pStyle w:val="Compact"/>
      </w:pPr>
      <w:r>
        <w:rPr>
          <w:bCs/>
          <w:b/>
        </w:rPr>
        <w:t xml:space="preserve">Manufacturing &amp; Assembly (Core Production):</w:t>
      </w:r>
      <w:r>
        <w:t xml:space="preserve"> </w:t>
      </w:r>
      <w:r>
        <w:t xml:space="preserve">Energy consumption and minor direct emissions during the final production of pnnpurssmp in China. (Scope 1, Scope 2)</w:t>
      </w:r>
    </w:p>
    <w:p>
      <w:pPr>
        <w:numPr>
          <w:ilvl w:val="0"/>
          <w:numId w:val="1002"/>
        </w:numPr>
        <w:pStyle w:val="Compact"/>
      </w:pPr>
      <w:r>
        <w:rPr>
          <w:bCs/>
          <w:b/>
        </w:rPr>
        <w:t xml:space="preserve">Transportation &amp; Distribution (Upstream &amp; Downstream):</w:t>
      </w:r>
      <w:r>
        <w:t xml:space="preserve"> </w:t>
      </w:r>
      <w:r>
        <w:t xml:space="preserve">Transportation of raw materials from Europe to the production facility in China, and distribution of the finished product from China to end-users in Europe, including last-mile delivery. (Scope 3, Category 4 &amp; 9)</w:t>
      </w:r>
    </w:p>
    <w:p>
      <w:pPr>
        <w:numPr>
          <w:ilvl w:val="0"/>
          <w:numId w:val="1002"/>
        </w:numPr>
        <w:pStyle w:val="Compact"/>
      </w:pPr>
      <w:r>
        <w:rPr>
          <w:bCs/>
          <w:b/>
        </w:rPr>
        <w:t xml:space="preserve">Use Phase:</w:t>
      </w:r>
      <w:r>
        <w:t xml:space="preserve"> </w:t>
      </w:r>
      <w:r>
        <w:t xml:space="preserve">Energy consumption by the product during its lifespan. (Scope 3, Category 11)</w:t>
      </w:r>
    </w:p>
    <w:p>
      <w:pPr>
        <w:numPr>
          <w:ilvl w:val="0"/>
          <w:numId w:val="1002"/>
        </w:numPr>
        <w:pStyle w:val="Compact"/>
      </w:pPr>
      <w:r>
        <w:rPr>
          <w:bCs/>
          <w:b/>
        </w:rPr>
        <w:t xml:space="preserve">End-of-Life (EoL):</w:t>
      </w:r>
      <w:r>
        <w:t xml:space="preserve"> </w:t>
      </w:r>
      <w:r>
        <w:t xml:space="preserve">Collection, recycling, and disposal processes at the end of the product\'s useful life. (Scope 3, Category 12)</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 Emission factors used are illustrative and representative of industry standards (e.g., Ecoinvent, DEFRA where applicable) for robust estimation in the absence of specific vendor data for all components.</w:t>
      </w:r>
    </w:p>
    <w:bookmarkStart w:id="26" w:name="X2154353349bb9e464b99368b5ddb1354d04290a"/>
    <w:p>
      <w:pPr>
        <w:pStyle w:val="Heading3"/>
      </w:pPr>
      <w:r>
        <w:t xml:space="preserve">3.1. Detailed Bill of Materials (BOM) - evoolpqz</w:t>
      </w:r>
    </w:p>
    <w:p>
      <w:pPr>
        <w:pStyle w:val="FirstParagraph"/>
      </w:pPr>
      <w:r>
        <w:t xml:space="preserve">The following table presents the detailed Bill of Materials for pnnpurssmp, including quantities, units, and associated emission factors used to calculate the material impact. This forms the basis for Scope 3, Category 1 emissions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Casing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 &amp;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Display Screen (LCD)</w:t>
            </w:r>
          </w:p>
        </w:tc>
        <w:tc>
          <w:tcPr/>
          <w:p>
            <w:pPr>
              <w:pStyle w:val="Compact"/>
              <w:jc w:val="left"/>
            </w:pPr>
            <w:r>
              <w:t xml:space="preserve">Electronics</w:t>
            </w:r>
          </w:p>
        </w:tc>
        <w:tc>
          <w:tcPr/>
          <w:p>
            <w:pPr>
              <w:pStyle w:val="Compact"/>
              <w:jc w:val="left"/>
            </w:pPr>
            <w:r>
              <w:t xml:space="preserve">LCD Panel Production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3.51</w:t>
            </w:r>
          </w:p>
        </w:tc>
      </w:tr>
    </w:tbl>
    <w:bookmarkEnd w:id="26"/>
    <w:bookmarkStart w:id="27" w:name="energy-inputs-production-phase"/>
    <w:p>
      <w:pPr>
        <w:pStyle w:val="Heading3"/>
      </w:pPr>
      <w:r>
        <w:t xml:space="preserve">3.2. Energy Inputs (Production Phase)</w:t>
      </w:r>
    </w:p>
    <w:p>
      <w:pPr>
        <w:pStyle w:val="FirstParagraph"/>
      </w:pPr>
      <w:r>
        <w:t xml:space="preserve">Energy consumption data for the production of pnnpurssmp, crucial for Scope 2 emissions, is detailed below:</w:t>
      </w:r>
    </w:p>
    <w:p>
      <w:pPr>
        <w:numPr>
          <w:ilvl w:val="0"/>
          <w:numId w:val="1003"/>
        </w:numPr>
        <w:pStyle w:val="Compact"/>
      </w:pPr>
      <w:r>
        <w:rPr>
          <w:bCs/>
          <w:b/>
        </w:rPr>
        <w:t xml:space="preserve">Energy Intensity (kWh/unit):</w:t>
      </w:r>
      <w:r>
        <w:t xml:space="preserve"> </w:t>
      </w:r>
      <w:r>
        <w:t xml:space="preserve">0.85 kWh/unit (ilgfnmhgye)</w:t>
      </w:r>
    </w:p>
    <w:p>
      <w:pPr>
        <w:numPr>
          <w:ilvl w:val="0"/>
          <w:numId w:val="1003"/>
        </w:numPr>
        <w:pStyle w:val="Compact"/>
      </w:pPr>
      <w:r>
        <w:rPr>
          <w:bCs/>
          <w:b/>
        </w:rPr>
        <w:t xml:space="preserve">Renewable Energy Usage:</w:t>
      </w:r>
      <w:r>
        <w:t xml:space="preserve"> </w:t>
      </w:r>
      <w:r>
        <w:t xml:space="preserve">75% (eopfymmhip) sourced from wind/solar, significantly reducing the carbon intensity of the purchased electricity.</w:t>
      </w:r>
    </w:p>
    <w:p>
      <w:pPr>
        <w:numPr>
          <w:ilvl w:val="0"/>
          <w:numId w:val="1003"/>
        </w:numPr>
        <w:pStyle w:val="Compact"/>
      </w:pPr>
      <w:r>
        <w:rPr>
          <w:bCs/>
          <w:b/>
        </w:rPr>
        <w:t xml:space="preserve">Grid Emission Factor (China):</w:t>
      </w:r>
      <w:r>
        <w:t xml:space="preserve"> </w:t>
      </w:r>
      <w:r>
        <w:t xml:space="preserve">0.6 kg CO2e/kWh (Illustrative for typical mixed grid in China).</w:t>
      </w:r>
    </w:p>
    <w:p>
      <w:pPr>
        <w:numPr>
          <w:ilvl w:val="0"/>
          <w:numId w:val="1003"/>
        </w:numPr>
        <w:pStyle w:val="Compact"/>
      </w:pPr>
      <w:r>
        <w:rPr>
          <w:bCs/>
          <w:b/>
        </w:rPr>
        <w:t xml:space="preserve">Renewable Energy Factor:</w:t>
      </w:r>
      <w:r>
        <w:t xml:space="preserve"> </w:t>
      </w:r>
      <w:r>
        <w:t xml:space="preserve">0.02 kg CO2e/kWh (Illustrative for renewable sources, accounting for embodied emissions of infrastructure).</w:t>
      </w:r>
    </w:p>
    <w:bookmarkEnd w:id="27"/>
    <w:bookmarkStart w:id="28" w:name="logistics-data-upstream-downstream"/>
    <w:p>
      <w:pPr>
        <w:pStyle w:val="Heading3"/>
      </w:pPr>
      <w:r>
        <w:t xml:space="preserve">3.3. Logistics Data (Upstream &amp; Downstream)</w:t>
      </w:r>
    </w:p>
    <w:p>
      <w:pPr>
        <w:pStyle w:val="FirstParagraph"/>
      </w:pPr>
      <w:r>
        <w:t xml:space="preserve">Transportation data for both raw materials and finished products contributes to Scope 3, Category 4 and 9 emissions:</w:t>
      </w:r>
    </w:p>
    <w:p>
      <w:pPr>
        <w:numPr>
          <w:ilvl w:val="0"/>
          <w:numId w:val="1004"/>
        </w:numPr>
        <w:pStyle w:val="Compact"/>
      </w:pPr>
      <w:r>
        <w:rPr>
          <w:bCs/>
          <w:b/>
        </w:rPr>
        <w:t xml:space="preserve">Upstream Transport (Materials to Factory):</w:t>
      </w:r>
    </w:p>
    <w:p>
      <w:pPr>
        <w:numPr>
          <w:ilvl w:val="1"/>
          <w:numId w:val="1005"/>
        </w:numPr>
        <w:pStyle w:val="Compact"/>
      </w:pPr>
      <w:r>
        <w:rPr>
          <w:bCs/>
          <w:b/>
        </w:rPr>
        <w:t xml:space="preserve">Mode:</w:t>
      </w:r>
      <w:r>
        <w:t xml:space="preserve"> </w:t>
      </w:r>
      <w:r>
        <w:t xml:space="preserve">Ocean Freight (Container)</w:t>
      </w:r>
    </w:p>
    <w:p>
      <w:pPr>
        <w:numPr>
          <w:ilvl w:val="1"/>
          <w:numId w:val="1005"/>
        </w:numPr>
        <w:pStyle w:val="Compact"/>
      </w:pPr>
      <w:r>
        <w:rPr>
          <w:bCs/>
          <w:b/>
        </w:rPr>
        <w:t xml:space="preserve">Distance:</w:t>
      </w:r>
      <w:r>
        <w:t xml:space="preserve"> </w:t>
      </w:r>
      <w:r>
        <w:t xml:space="preserve">12,000 km (ipzfgkexyk, assumed from Europe to China)</w:t>
      </w:r>
    </w:p>
    <w:p>
      <w:pPr>
        <w:numPr>
          <w:ilvl w:val="1"/>
          <w:numId w:val="1005"/>
        </w:numPr>
        <w:pStyle w:val="Compact"/>
      </w:pPr>
      <w:r>
        <w:rPr>
          <w:bCs/>
          <w:b/>
        </w:rPr>
        <w:t xml:space="preserve">Emission Factor (Ocean Freight):</w:t>
      </w:r>
      <w:r>
        <w:t xml:space="preserve"> </w:t>
      </w:r>
      <w:r>
        <w:t xml:space="preserve">0.005 kg CO2e/tonne-km (illustrative).</w:t>
      </w:r>
    </w:p>
    <w:p>
      <w:pPr>
        <w:numPr>
          <w:ilvl w:val="0"/>
          <w:numId w:val="1004"/>
        </w:numPr>
        <w:pStyle w:val="Compact"/>
      </w:pPr>
      <w:r>
        <w:rPr>
          <w:bCs/>
          <w:b/>
        </w:rPr>
        <w:t xml:space="preserve">Downstream Transport (Product to Customer):</w:t>
      </w:r>
    </w:p>
    <w:p>
      <w:pPr>
        <w:numPr>
          <w:ilvl w:val="1"/>
          <w:numId w:val="1006"/>
        </w:numPr>
        <w:pStyle w:val="Compact"/>
      </w:pPr>
      <w:r>
        <w:rPr>
          <w:bCs/>
          <w:b/>
        </w:rPr>
        <w:t xml:space="preserve">Main Transport Mode:</w:t>
      </w:r>
      <w:r>
        <w:t xml:space="preserve"> </w:t>
      </w:r>
      <w:r>
        <w:t xml:space="preserve">Ocean Freight (Container) from China to Europe (approx. 10,000 km).</w:t>
      </w:r>
    </w:p>
    <w:p>
      <w:pPr>
        <w:numPr>
          <w:ilvl w:val="1"/>
          <w:numId w:val="1006"/>
        </w:numPr>
        <w:pStyle w:val="Compact"/>
      </w:pPr>
      <w:r>
        <w:rPr>
          <w:bCs/>
          <w:b/>
        </w:rPr>
        <w:t xml:space="preserve">Local Transport Mode:</w:t>
      </w:r>
      <w:r>
        <w:t xml:space="preserve"> </w:t>
      </w:r>
      <w:r>
        <w:t xml:space="preserve">Road Freight (HGV) from regional warehouse to local distribution (approx. 500 km, part of ipzfgkexyk).</w:t>
      </w:r>
    </w:p>
    <w:p>
      <w:pPr>
        <w:numPr>
          <w:ilvl w:val="1"/>
          <w:numId w:val="1006"/>
        </w:numPr>
        <w:pStyle w:val="Compact"/>
      </w:pPr>
      <w:r>
        <w:rPr>
          <w:bCs/>
          <w:b/>
        </w:rPr>
        <w:t xml:space="preserve">Last-Mile Delivery Channel:</w:t>
      </w:r>
      <w:r>
        <w:t xml:space="preserve"> </w:t>
      </w:r>
      <w:r>
        <w:t xml:space="preserve">Local Courier Service (Delivery Type).</w:t>
      </w:r>
    </w:p>
    <w:p>
      <w:pPr>
        <w:numPr>
          <w:ilvl w:val="1"/>
          <w:numId w:val="1006"/>
        </w:numPr>
        <w:pStyle w:val="Compact"/>
      </w:pPr>
      <w:r>
        <w:rPr>
          <w:bCs/>
          <w:b/>
        </w:rPr>
        <w:t xml:space="preserve">Emission Factor (Road Freight):</w:t>
      </w:r>
      <w:r>
        <w:t xml:space="preserve"> </w:t>
      </w:r>
      <w:r>
        <w:t xml:space="preserve">0.09 kg CO2e/tonne-km (illustrative).</w:t>
      </w:r>
    </w:p>
    <w:p>
      <w:pPr>
        <w:numPr>
          <w:ilvl w:val="1"/>
          <w:numId w:val="1006"/>
        </w:numPr>
        <w:pStyle w:val="Compact"/>
      </w:pPr>
      <w:r>
        <w:rPr>
          <w:bCs/>
          <w:b/>
        </w:rPr>
        <w:t xml:space="preserve">Last-Mile Emission:</w:t>
      </w:r>
      <w:r>
        <w:t xml:space="preserve"> </w:t>
      </w:r>
      <w:r>
        <w:t xml:space="preserve">0.5 kg CO2e/unit (illustrative, for local courier).</w:t>
      </w:r>
    </w:p>
    <w:bookmarkEnd w:id="28"/>
    <w:bookmarkStart w:id="29" w:name="use-phase-data"/>
    <w:p>
      <w:pPr>
        <w:pStyle w:val="Heading3"/>
      </w:pPr>
      <w:r>
        <w:t xml:space="preserve">3.4. Use Phase Data</w:t>
      </w:r>
    </w:p>
    <w:p>
      <w:pPr>
        <w:pStyle w:val="FirstParagraph"/>
      </w:pPr>
      <w:r>
        <w:t xml:space="preserve">Data for the product\'s use phase, contributing to Scope 3, Category 11 emissions:</w:t>
      </w:r>
    </w:p>
    <w:p>
      <w:pPr>
        <w:numPr>
          <w:ilvl w:val="0"/>
          <w:numId w:val="1007"/>
        </w:numPr>
        <w:pStyle w:val="Compact"/>
      </w:pPr>
      <w:r>
        <w:rPr>
          <w:bCs/>
          <w:b/>
        </w:rPr>
        <w:t xml:space="preserve">Product Lifespan:</w:t>
      </w:r>
      <w:r>
        <w:t xml:space="preserve"> </w:t>
      </w:r>
      <w:r>
        <w:t xml:space="preserve">5 years (qgklskgzwf)</w:t>
      </w:r>
    </w:p>
    <w:p>
      <w:pPr>
        <w:numPr>
          <w:ilvl w:val="0"/>
          <w:numId w:val="1007"/>
        </w:numPr>
        <w:pStyle w:val="Compact"/>
      </w:pPr>
      <w:r>
        <w:rPr>
          <w:bCs/>
          <w:b/>
        </w:rPr>
        <w:t xml:space="preserve">Energy Consumption in Use:</w:t>
      </w:r>
      <w:r>
        <w:t xml:space="preserve"> </w:t>
      </w:r>
      <w:r>
        <w:t xml:space="preserve">15 kWh/year (xgmmiyxsjv)</w:t>
      </w:r>
    </w:p>
    <w:p>
      <w:pPr>
        <w:numPr>
          <w:ilvl w:val="0"/>
          <w:numId w:val="1007"/>
        </w:numPr>
        <w:pStyle w:val="Compact"/>
      </w:pPr>
      <w:r>
        <w:rPr>
          <w:bCs/>
          <w:b/>
        </w:rPr>
        <w:t xml:space="preserve">Grid Emission Factor (Europe - Use Phase):</w:t>
      </w:r>
      <w:r>
        <w:t xml:space="preserve"> </w:t>
      </w:r>
      <w:r>
        <w:t xml:space="preserve">0.25 kg CO2e/kWh (Illustrative for average European grid mix).</w:t>
      </w:r>
    </w:p>
    <w:bookmarkEnd w:id="29"/>
    <w:bookmarkStart w:id="30" w:name="end-of-life-eol-scenarios"/>
    <w:p>
      <w:pPr>
        <w:pStyle w:val="Heading3"/>
      </w:pPr>
      <w:r>
        <w:t xml:space="preserve">3.5. End-of-Life (EoL) Scenarios</w:t>
      </w:r>
    </w:p>
    <w:p>
      <w:pPr>
        <w:pStyle w:val="FirstParagraph"/>
      </w:pPr>
      <w:r>
        <w:t xml:space="preserve">Information regarding the product\'s end-of-life, contributing to Scope 3, Category 12 emissions:</w:t>
      </w:r>
    </w:p>
    <w:p>
      <w:pPr>
        <w:numPr>
          <w:ilvl w:val="0"/>
          <w:numId w:val="1008"/>
        </w:numPr>
        <w:pStyle w:val="Compact"/>
      </w:pPr>
      <w:r>
        <w:rPr>
          <w:bCs/>
          <w:b/>
        </w:rPr>
        <w:t xml:space="preserve">Recyclability Percentage:</w:t>
      </w:r>
      <w:r>
        <w:t xml:space="preserve"> </w:t>
      </w:r>
      <w:r>
        <w:t xml:space="preserve">60% (ugdjgdfnkz)</w:t>
      </w:r>
    </w:p>
    <w:p>
      <w:pPr>
        <w:numPr>
          <w:ilvl w:val="0"/>
          <w:numId w:val="1008"/>
        </w:numPr>
        <w:pStyle w:val="Compact"/>
      </w:pPr>
      <w:r>
        <w:rPr>
          <w:bCs/>
          <w:b/>
        </w:rPr>
        <w:t xml:space="preserve">Circular/Take-back Programs:</w:t>
      </w:r>
      <w:r>
        <w:t xml:space="preserve"> </w:t>
      </w:r>
      <w:r>
        <w:t xml:space="preserve">devkioezep implements a Product Take-back and Refurbishment Program (hzxhvhrmul) to extend product life and reduce waste.</w:t>
      </w:r>
    </w:p>
    <w:p>
      <w:pPr>
        <w:numPr>
          <w:ilvl w:val="0"/>
          <w:numId w:val="1008"/>
        </w:numPr>
        <w:pStyle w:val="Compact"/>
      </w:pPr>
      <w:r>
        <w:rPr>
          <w:bCs/>
          <w:b/>
        </w:rPr>
        <w:t xml:space="preserve">EoL Emission Factors (Illustrative):</w:t>
      </w:r>
    </w:p>
    <w:p>
      <w:pPr>
        <w:numPr>
          <w:ilvl w:val="1"/>
          <w:numId w:val="1009"/>
        </w:numPr>
        <w:pStyle w:val="Compact"/>
      </w:pPr>
      <w:r>
        <w:t xml:space="preserve">Disposal (Landfill/Incineration): 1.5 kg CO2e/kg.</w:t>
      </w:r>
    </w:p>
    <w:p>
      <w:pPr>
        <w:numPr>
          <w:ilvl w:val="1"/>
          <w:numId w:val="1009"/>
        </w:numPr>
        <w:pStyle w:val="Compact"/>
      </w:pPr>
      <w:r>
        <w:t xml:space="preserve">Recycling Processing: 0.3 kg CO2e/kg.</w:t>
      </w:r>
    </w:p>
    <w:p>
      <w:pPr>
        <w:numPr>
          <w:ilvl w:val="1"/>
          <w:numId w:val="1009"/>
        </w:numPr>
        <w:pStyle w:val="Compact"/>
      </w:pPr>
      <w:r>
        <w:t xml:space="preserve">Recycling Credit (Offset): -0.5 kg CO2e/kg (for virgin material avoidance).</w:t>
      </w:r>
    </w:p>
    <w:p>
      <w:r>
        <w:pict>
          <v:rect style="width:0;height:1.5pt" o:hralign="center" o:hrstd="t" o:hr="t"/>
        </w:pict>
      </w:r>
    </w:p>
    <w:bookmarkEnd w:id="30"/>
    <w:bookmarkEnd w:id="31"/>
    <w:bookmarkStart w:id="34" w:name="Xdd0f433185fde5fd9508eee9e1e7bcaa542b608"/>
    <w:p>
      <w:pPr>
        <w:pStyle w:val="Heading2"/>
      </w:pPr>
      <w:r>
        <w:t xml:space="preserve">4. Emission Calculation and GHG Protocol Categorization</w:t>
      </w:r>
    </w:p>
    <w:p>
      <w:pPr>
        <w:pStyle w:val="FirstParagraph"/>
      </w:pPr>
      <w:r>
        <w:t xml:space="preserve">This section details the calculated emissions across the product\'s lifecycle, categorized according to the GHG Protocol\'s Scope 1, Scope 2, and Scope 3 definitions.</w:t>
      </w:r>
    </w:p>
    <w:bookmarkStart w:id="32" w:name="calculated-emissions-by-life-cycle-stage"/>
    <w:p>
      <w:pPr>
        <w:pStyle w:val="Heading3"/>
      </w:pPr>
      <w:r>
        <w:t xml:space="preserve">4.1. Calculated Emissions by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Protocol Scope Category</w:t>
            </w:r>
          </w:p>
        </w:tc>
        <w:tc>
          <w:tcPr/>
          <w:p>
            <w:pPr>
              <w:pStyle w:val="Compact"/>
              <w:jc w:val="left"/>
            </w:pPr>
            <w:r>
              <w:t xml:space="preserve">Emissions (kg CO2e per functional unit)</w:t>
            </w:r>
          </w:p>
        </w:tc>
        <w:tc>
          <w:tcPr/>
          <w:p>
            <w:pPr>
              <w:pStyle w:val="Compact"/>
              <w:jc w:val="left"/>
            </w:pPr>
            <w:r>
              <w:t xml:space="preserve">Notes</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3.51</w:t>
            </w:r>
          </w:p>
        </w:tc>
        <w:tc>
          <w:tcPr/>
          <w:p>
            <w:pPr>
              <w:pStyle w:val="Compact"/>
              <w:jc w:val="left"/>
            </w:pPr>
            <w:r>
              <w:t xml:space="preserve">Based on detailed BOM analysis.</w:t>
            </w:r>
          </w:p>
        </w:tc>
      </w:tr>
      <w:tr>
        <w:tc>
          <w:tcPr/>
          <w:p>
            <w:pPr>
              <w:pStyle w:val="Compact"/>
              <w:jc w:val="left"/>
            </w:pPr>
            <w:r>
              <w:t xml:space="preserve">Manufacturing Energy (Production)</w:t>
            </w:r>
          </w:p>
        </w:tc>
        <w:tc>
          <w:tcPr/>
          <w:p>
            <w:pPr>
              <w:pStyle w:val="Compact"/>
              <w:jc w:val="left"/>
            </w:pPr>
            <w:r>
              <w:t xml:space="preserve">Scope 2 (Purchased Electricity)</w:t>
            </w:r>
          </w:p>
        </w:tc>
        <w:tc>
          <w:tcPr/>
          <w:p>
            <w:pPr>
              <w:pStyle w:val="Compact"/>
              <w:jc w:val="left"/>
            </w:pPr>
            <w:r>
              <w:t xml:space="preserve">0.17</w:t>
            </w:r>
          </w:p>
        </w:tc>
        <w:tc>
          <w:tcPr/>
          <w:p>
            <w:pPr>
              <w:pStyle w:val="Compact"/>
              <w:jc w:val="left"/>
            </w:pPr>
            <w:r>
              <w:t xml:space="preserve">Reflects 75% renewable energy usage in China.</w:t>
            </w:r>
          </w:p>
        </w:tc>
      </w:tr>
      <w:tr>
        <w:tc>
          <w:tcPr/>
          <w:p>
            <w:pPr>
              <w:pStyle w:val="Compact"/>
              <w:jc w:val="left"/>
            </w:pPr>
            <w:r>
              <w:t xml:space="preserve">Upstream Transportation (Materials to Factory)</w:t>
            </w:r>
          </w:p>
        </w:tc>
        <w:tc>
          <w:tcPr/>
          <w:p>
            <w:pPr>
              <w:pStyle w:val="Compact"/>
              <w:jc w:val="left"/>
            </w:pPr>
            <w:r>
              <w:t xml:space="preserve">Scope 3, Category 4 (Upstream Transportation)</w:t>
            </w:r>
          </w:p>
        </w:tc>
        <w:tc>
          <w:tcPr/>
          <w:p>
            <w:pPr>
              <w:pStyle w:val="Compact"/>
              <w:jc w:val="left"/>
            </w:pPr>
            <w:r>
              <w:t xml:space="preserve">0.08</w:t>
            </w:r>
          </w:p>
        </w:tc>
        <w:tc>
          <w:tcPr/>
          <w:p>
            <w:pPr>
              <w:pStyle w:val="Compact"/>
              <w:jc w:val="left"/>
            </w:pPr>
            <w:r>
              <w:t xml:space="preserve">Ocean freight for raw materials from Europe to China.</w:t>
            </w:r>
          </w:p>
        </w:tc>
      </w:tr>
      <w:tr>
        <w:tc>
          <w:tcPr/>
          <w:p>
            <w:pPr>
              <w:pStyle w:val="Compact"/>
              <w:jc w:val="left"/>
            </w:pPr>
            <w:r>
              <w:t xml:space="preserve">Downstream Transportation (Factory to Customer)</w:t>
            </w:r>
          </w:p>
        </w:tc>
        <w:tc>
          <w:tcPr/>
          <w:p>
            <w:pPr>
              <w:pStyle w:val="Compact"/>
              <w:jc w:val="left"/>
            </w:pPr>
            <w:r>
              <w:t xml:space="preserve">Scope 3, Category 9 (Downstream Transportation)</w:t>
            </w:r>
          </w:p>
        </w:tc>
        <w:tc>
          <w:tcPr/>
          <w:p>
            <w:pPr>
              <w:pStyle w:val="Compact"/>
              <w:jc w:val="left"/>
            </w:pPr>
            <w:r>
              <w:t xml:space="preserve">0.07</w:t>
            </w:r>
          </w:p>
        </w:tc>
        <w:tc>
          <w:tcPr/>
          <w:p>
            <w:pPr>
              <w:pStyle w:val="Compact"/>
              <w:jc w:val="left"/>
            </w:pPr>
            <w:r>
              <w:t xml:space="preserve">Includes ocean freight, road freight, and last-mile delivery.</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18.75</w:t>
            </w:r>
          </w:p>
        </w:tc>
        <w:tc>
          <w:tcPr/>
          <w:p>
            <w:pPr>
              <w:pStyle w:val="Compact"/>
              <w:jc w:val="left"/>
            </w:pPr>
            <w:r>
              <w:t xml:space="preserve">Energy consumption over 5-year lifespan in Europe.</w:t>
            </w:r>
          </w:p>
        </w:tc>
      </w:tr>
      <w:tr>
        <w:tc>
          <w:tcPr/>
          <w:p>
            <w:pPr>
              <w:pStyle w:val="Compact"/>
              <w:jc w:val="left"/>
            </w:pPr>
            <w:r>
              <w:t xml:space="preserve">End-of-Life Treatment</w:t>
            </w:r>
          </w:p>
        </w:tc>
        <w:tc>
          <w:tcPr/>
          <w:p>
            <w:pPr>
              <w:pStyle w:val="Compact"/>
              <w:jc w:val="left"/>
            </w:pPr>
            <w:r>
              <w:t xml:space="preserve">Scope 3, Category 12 (EoL of Sold Products)</w:t>
            </w:r>
          </w:p>
        </w:tc>
        <w:tc>
          <w:tcPr/>
          <w:p>
            <w:pPr>
              <w:pStyle w:val="Compact"/>
              <w:jc w:val="left"/>
            </w:pPr>
            <w:r>
              <w:t xml:space="preserve">-0.08</w:t>
            </w:r>
          </w:p>
        </w:tc>
        <w:tc>
          <w:tcPr/>
          <w:p>
            <w:pPr>
              <w:pStyle w:val="Compact"/>
              <w:jc w:val="left"/>
            </w:pPr>
            <w:r>
              <w:t xml:space="preserve">Accounts for 60% recyclability and circular programs, resulting in a net avoidance credit.</w:t>
            </w:r>
          </w:p>
        </w:tc>
      </w:tr>
      <w:tr>
        <w:tc>
          <w:tcPr/>
          <w:p>
            <w:pPr>
              <w:pStyle w:val="Compact"/>
              <w:jc w:val="left"/>
            </w:pPr>
            <w:r>
              <w:t xml:space="preserve">Direct Emissions (Production)</w:t>
            </w:r>
          </w:p>
        </w:tc>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Assumes no direct combustion or process emissions from devkioezep for outsourced final production.</w:t>
            </w:r>
          </w:p>
        </w:tc>
      </w:tr>
      <w:tr>
        <w:tc>
          <w:tcPr>
            <w:gridSpan w:val="2"/>
          </w:tcPr>
          <w:p>
            <w:pPr>
              <w:pStyle w:val="Compact"/>
              <w:jc w:val="right"/>
            </w:pPr>
            <w:r>
              <w:rPr>
                <w:bCs/>
                <w:b/>
              </w:rPr>
              <w:t xml:space="preserve">Total Product Carbon Footprint (PCF) (kg CO2e):</w:t>
            </w:r>
          </w:p>
        </w:tc>
        <w:tc>
          <w:tcPr/>
          <w:p>
            <w:pPr>
              <w:pStyle w:val="Compact"/>
              <w:jc w:val="left"/>
            </w:pPr>
            <w:r>
              <w:rPr>
                <w:bCs/>
                <w:b/>
              </w:rPr>
              <w:t xml:space="preserve">22.50</w:t>
            </w:r>
          </w:p>
        </w:tc>
        <w:tc>
          <w:tcPr/>
          <w:p>
            <w:pPr>
              <w:pStyle w:val="Compact"/>
              <w:jc w:val="left"/>
            </w:pPr>
            <w:r>
              <w:t xml:space="preserve">Sum of all life cycle stage emissions.</w:t>
            </w:r>
          </w:p>
        </w:tc>
      </w:tr>
    </w:tbl>
    <w:bookmarkEnd w:id="32"/>
    <w:bookmarkStart w:id="33" w:name="ghg-protocol-scope-summary"/>
    <w:p>
      <w:pPr>
        <w:pStyle w:val="Heading3"/>
      </w:pPr>
      <w:r>
        <w:t xml:space="preserve">4.2. GHG Protocol Scope Summary</w:t>
      </w:r>
    </w:p>
    <w:p>
      <w:pPr>
        <w:pStyle w:val="FirstParagraph"/>
      </w:pPr>
      <w:r>
        <w:t xml:space="preserve">A summary of emissions categorized by GHG Protocol scopes:</w:t>
      </w:r>
    </w:p>
    <w:p>
      <w:pPr>
        <w:numPr>
          <w:ilvl w:val="0"/>
          <w:numId w:val="1010"/>
        </w:numPr>
      </w:pPr>
      <w:r>
        <w:rPr>
          <w:bCs/>
          <w:b/>
        </w:rPr>
        <w:t xml:space="preserve">Scope 1 Emissions (Direct):</w:t>
      </w:r>
      <w:r>
        <w:t xml:space="preserve"> </w:t>
      </w:r>
      <w:r>
        <w:t xml:space="preserve">0.00 kg CO2e</w:t>
      </w:r>
    </w:p>
    <w:p>
      <w:pPr>
        <w:numPr>
          <w:ilvl w:val="0"/>
          <w:numId w:val="1000"/>
        </w:numPr>
      </w:pPr>
      <w:r>
        <w:t xml:space="preserve">These are direct emissions from sources owned or controlled by devkioezep. For this product, assuming outsourced manufacturing under a \'factory_gate\' boundary, direct operational emissions are considered negligible or zero at devkioezep\'s direct control point.</w:t>
      </w:r>
    </w:p>
    <w:p>
      <w:pPr>
        <w:numPr>
          <w:ilvl w:val="0"/>
          <w:numId w:val="1010"/>
        </w:numPr>
      </w:pPr>
      <w:r>
        <w:rPr>
          <w:bCs/>
          <w:b/>
        </w:rPr>
        <w:t xml:space="preserve">Scope 2 Emissions (Purchased Energy):</w:t>
      </w:r>
      <w:r>
        <w:t xml:space="preserve"> </w:t>
      </w:r>
      <w:r>
        <w:t xml:space="preserve">0.17 kg CO2e</w:t>
      </w:r>
    </w:p>
    <w:p>
      <w:pPr>
        <w:numPr>
          <w:ilvl w:val="0"/>
          <w:numId w:val="1000"/>
        </w:numPr>
      </w:pPr>
      <w:r>
        <w:t xml:space="preserve">These emissions result from the generation of purchased electricity used in the final production of pnnpurssmp. The significant renewable energy usage (75%) substantially mitigates these emissions.</w:t>
      </w:r>
    </w:p>
    <w:p>
      <w:pPr>
        <w:numPr>
          <w:ilvl w:val="0"/>
          <w:numId w:val="1010"/>
        </w:numPr>
      </w:pPr>
      <w:r>
        <w:rPr>
          <w:bCs/>
          <w:b/>
        </w:rPr>
        <w:t xml:space="preserve">Scope 3 Emissions (Value Chain):</w:t>
      </w:r>
      <w:r>
        <w:t xml:space="preserve"> </w:t>
      </w:r>
      <w:r>
        <w:t xml:space="preserve">22.33 kg CO2e</w:t>
      </w:r>
    </w:p>
    <w:p>
      <w:pPr>
        <w:numPr>
          <w:ilvl w:val="0"/>
          <w:numId w:val="1000"/>
        </w:numPr>
      </w:pPr>
      <w:r>
        <w:t xml:space="preserve">Scope 3 emissions represent the vast majority of pnnpurssmp\'s footprint, covering all indirect emissions both upstream and downstream in the value chain. Devkioezep is committed to ensuring at least 95% coverage for Scope 3 reporting, in line with 2026 requirements, demonstrating a thorough understanding of its value chain impacts.</w:t>
      </w:r>
    </w:p>
    <w:p>
      <w:pPr>
        <w:numPr>
          <w:ilvl w:val="1"/>
          <w:numId w:val="1011"/>
        </w:numPr>
        <w:pStyle w:val="Compact"/>
      </w:pPr>
      <w:r>
        <w:t xml:space="preserve">Category 1 (Purchased Goods and Services - Materials): 3.51 kg CO2e</w:t>
      </w:r>
    </w:p>
    <w:p>
      <w:pPr>
        <w:numPr>
          <w:ilvl w:val="1"/>
          <w:numId w:val="1011"/>
        </w:numPr>
        <w:pStyle w:val="Compact"/>
      </w:pPr>
      <w:r>
        <w:t xml:space="preserve">Category 4 (Upstream Transportation and Distribution): 0.08 kg CO2e</w:t>
      </w:r>
    </w:p>
    <w:p>
      <w:pPr>
        <w:numPr>
          <w:ilvl w:val="1"/>
          <w:numId w:val="1011"/>
        </w:numPr>
        <w:pStyle w:val="Compact"/>
      </w:pPr>
      <w:r>
        <w:t xml:space="preserve">Category 9 (Downstream Transportation and Distribution): 0.07 kg CO2e</w:t>
      </w:r>
    </w:p>
    <w:p>
      <w:pPr>
        <w:numPr>
          <w:ilvl w:val="1"/>
          <w:numId w:val="1011"/>
        </w:numPr>
        <w:pStyle w:val="Compact"/>
      </w:pPr>
      <w:r>
        <w:t xml:space="preserve">Category 11 (Use of Sold Products): 18.75 kg CO2e</w:t>
      </w:r>
    </w:p>
    <w:p>
      <w:pPr>
        <w:numPr>
          <w:ilvl w:val="1"/>
          <w:numId w:val="1011"/>
        </w:numPr>
        <w:pStyle w:val="Compact"/>
      </w:pPr>
      <w:r>
        <w:t xml:space="preserve">Category 12 (End-of-Life Treatment of Sold Products): -0.08 kg CO2e</w:t>
      </w:r>
    </w:p>
    <w:p>
      <w:pPr>
        <w:pStyle w:val="FirstParagraph"/>
      </w:pPr>
      <w:r>
        <w:rPr>
          <w:bCs/>
          <w:b/>
        </w:rPr>
        <w:t xml:space="preserve">Total PCF:</w:t>
      </w:r>
      <w:r>
        <w:t xml:space="preserve"> </w:t>
      </w:r>
      <w:r>
        <w:t xml:space="preserve">22.50 kg CO2e per functional unit.</w:t>
      </w:r>
    </w:p>
    <w:p>
      <w:r>
        <w:pict>
          <v:rect style="width:0;height:1.5pt" o:hralign="center" o:hrstd="t" o:hr="t"/>
        </w:pict>
      </w:r>
    </w:p>
    <w:bookmarkEnd w:id="33"/>
    <w:bookmarkEnd w:id="34"/>
    <w:bookmarkStart w:id="39" w:name="review-report-hotspots-and-reliability"/>
    <w:p>
      <w:pPr>
        <w:pStyle w:val="Heading2"/>
      </w:pPr>
      <w:r>
        <w:t xml:space="preserve">5. Review &amp; Report: Hotspots and Reliability</w:t>
      </w:r>
    </w:p>
    <w:bookmarkStart w:id="35" w:name="hotspot-analysis"/>
    <w:p>
      <w:pPr>
        <w:pStyle w:val="Heading3"/>
      </w:pPr>
      <w:r>
        <w:t xml:space="preserve">5.1. Hotspot Analysis</w:t>
      </w:r>
    </w:p>
    <w:p>
      <w:pPr>
        <w:pStyle w:val="FirstParagraph"/>
      </w:pPr>
      <w:r>
        <w:t xml:space="preserve">The analysis clearly identifies the following key environmental hotspots for pnnpurssmp:</w:t>
      </w:r>
    </w:p>
    <w:p>
      <w:pPr>
        <w:numPr>
          <w:ilvl w:val="0"/>
          <w:numId w:val="1012"/>
        </w:numPr>
        <w:pStyle w:val="Compact"/>
      </w:pPr>
      <w:r>
        <w:rPr>
          <w:bCs/>
          <w:b/>
        </w:rPr>
        <w:t xml:space="preserve">Use Phase (18.75 kg CO2e):</w:t>
      </w:r>
      <w:r>
        <w:t xml:space="preserve"> </w:t>
      </w:r>
      <w:r>
        <w:t xml:space="preserve">This is the most significant hotspot, accounting for approximately 83% of the total PCF. The energy consumption of the device over its 5-year lifespan contributes overwhelmingly to its environmental impact, even with an average European grid mix.</w:t>
      </w:r>
    </w:p>
    <w:p>
      <w:pPr>
        <w:numPr>
          <w:ilvl w:val="0"/>
          <w:numId w:val="1012"/>
        </w:numPr>
        <w:pStyle w:val="Compact"/>
      </w:pPr>
      <w:r>
        <w:rPr>
          <w:bCs/>
          <w:b/>
        </w:rPr>
        <w:t xml:space="preserve">Material Acquisition &amp; Processing (3.51 kg CO2e):</w:t>
      </w:r>
      <w:r>
        <w:t xml:space="preserve"> </w:t>
      </w:r>
      <w:r>
        <w:t xml:space="preserve">Constituting about 16% of the total footprint, the embodied emissions in raw materials, particularly plastics and electronics components, represent the second largest hotspot.</w:t>
      </w:r>
    </w:p>
    <w:p>
      <w:pPr>
        <w:numPr>
          <w:ilvl w:val="0"/>
          <w:numId w:val="1012"/>
        </w:numPr>
        <w:pStyle w:val="Compact"/>
      </w:pPr>
      <w:r>
        <w:rPr>
          <w:bCs/>
          <w:b/>
        </w:rPr>
        <w:t xml:space="preserve">Transportation:</w:t>
      </w:r>
      <w:r>
        <w:t xml:space="preserve"> </w:t>
      </w:r>
      <w:r>
        <w:t xml:space="preserve">While individually smaller, the combined upstream and downstream transportation emissions highlight the impact of a global supply chain.</w:t>
      </w:r>
    </w:p>
    <w:bookmarkEnd w:id="35"/>
    <w:bookmarkStart w:id="36" w:name="reliability-and-limitations"/>
    <w:p>
      <w:pPr>
        <w:pStyle w:val="Heading3"/>
      </w:pPr>
      <w:r>
        <w:t xml:space="preserve">5.2. Reliability and Limitations</w:t>
      </w:r>
    </w:p>
    <w:p>
      <w:pPr>
        <w:pStyle w:val="FirstParagraph"/>
      </w:pPr>
      <w:r>
        <w:t xml:space="preserve">The reliability of this PCF analysis is robust given the adherence to GHG Protocol standards and the integration of specific operational data. However, certain limitations apply:</w:t>
      </w:r>
    </w:p>
    <w:p>
      <w:pPr>
        <w:numPr>
          <w:ilvl w:val="0"/>
          <w:numId w:val="1013"/>
        </w:numPr>
        <w:pStyle w:val="Compact"/>
      </w:pPr>
      <w:r>
        <w:rPr>
          <w:bCs/>
          <w:b/>
        </w:rPr>
        <w:t xml:space="preserve">Emission Factor Specificity:</w:t>
      </w:r>
      <w:r>
        <w:t xml:space="preserve"> </w:t>
      </w:r>
      <w:r>
        <w:t xml:space="preserve">Generic industry-average emission factors were used for some processes and materials where specific supplier data was unavailable (due to placeholder parameters). This introduces a degree of uncertainty, although factors were chosen to be representative.</w:t>
      </w:r>
    </w:p>
    <w:p>
      <w:pPr>
        <w:numPr>
          <w:ilvl w:val="0"/>
          <w:numId w:val="1013"/>
        </w:numPr>
        <w:pStyle w:val="Compact"/>
      </w:pPr>
      <w:r>
        <w:rPr>
          <w:bCs/>
          <w:b/>
        </w:rPr>
        <w:t xml:space="preserve">Data Granularity:</w:t>
      </w:r>
      <w:r>
        <w:t xml:space="preserve"> </w:t>
      </w:r>
      <w:r>
        <w:t xml:space="preserve">The level of detail for certain processes (e.g., specific manufacturing sub-processes) is based on reasonable assumptions for a high-detail assessment without proprietary manufacturing data.</w:t>
      </w:r>
    </w:p>
    <w:p>
      <w:pPr>
        <w:numPr>
          <w:ilvl w:val="0"/>
          <w:numId w:val="1013"/>
        </w:numPr>
        <w:pStyle w:val="Compact"/>
      </w:pPr>
      <w:r>
        <w:rPr>
          <w:bCs/>
          <w:b/>
        </w:rPr>
        <w:t xml:space="preserve">Dynamic Environment:</w:t>
      </w:r>
      <w:r>
        <w:t xml:space="preserve"> </w:t>
      </w:r>
      <w:r>
        <w:t xml:space="preserve">Emission factors, especially for electricity grids, can change over time. This report uses current illustrative factors.</w:t>
      </w:r>
    </w:p>
    <w:p>
      <w:pPr>
        <w:pStyle w:val="FirstParagraph"/>
      </w:pPr>
      <w:r>
        <w:t xml:space="preserve">Further improvements in data collection, particularly primary data from suppliers and energy providers, would enhance the accuracy and reduce uncertainties.</w:t>
      </w:r>
    </w:p>
    <w:bookmarkEnd w:id="36"/>
    <w:bookmarkStart w:id="37" w:name="lsr-update-considerations"/>
    <w:p>
      <w:pPr>
        <w:pStyle w:val="Heading3"/>
      </w:pPr>
      <w:r>
        <w:t xml:space="preserve">5.3. 2026 LSR Update Considerations</w:t>
      </w:r>
    </w:p>
    <w:p>
      <w:pPr>
        <w:pStyle w:val="FirstParagraph"/>
      </w:pPr>
      <w:r>
        <w:t xml:space="preserve">While this product\'s footprint is primarily driven by industrial processes and energy, the Land Sector and Removals (LSR) Standard for 2026 has been considered by acknowledging potential upstream land-use change impacts associated with certain raw materials (e.g., bio-based materials if used, or deforestation linked to certain commodity productions). For pnnpurssmp, direct LSR impacts are minimal given its electronic nature, but indirect impacts in the supply chain (e.g., materials from deforested areas) are part of the holistic Scope 3 consideration.</w:t>
      </w:r>
    </w:p>
    <w:bookmarkEnd w:id="37"/>
    <w:bookmarkStart w:id="38" w:name="recommendations-for-emission-reduction"/>
    <w:p>
      <w:pPr>
        <w:pStyle w:val="Heading3"/>
      </w:pPr>
      <w:r>
        <w:t xml:space="preserve">5.4. Recommendations for Emission Reduction</w:t>
      </w:r>
    </w:p>
    <w:p>
      <w:pPr>
        <w:pStyle w:val="FirstParagraph"/>
      </w:pPr>
      <w:r>
        <w:t xml:space="preserve">Based on the hotspot analysis, devkioezep should focus on the following strategies:</w:t>
      </w:r>
    </w:p>
    <w:p>
      <w:pPr>
        <w:numPr>
          <w:ilvl w:val="0"/>
          <w:numId w:val="1014"/>
        </w:numPr>
        <w:pStyle w:val="Compact"/>
      </w:pPr>
      <w:r>
        <w:rPr>
          <w:bCs/>
          <w:b/>
        </w:rPr>
        <w:t xml:space="preserve">Use Phase Optimization:</w:t>
      </w:r>
      <w:r>
        <w:t xml:space="preserve"> </w:t>
      </w:r>
      <w:r>
        <w:t xml:space="preserve">Invest in R&amp;D for significant energy efficiency improvements for pnnpurssmp. Explore low-power modes, smart energy management features, and consumer awareness campaigns to promote responsible usage.</w:t>
      </w:r>
    </w:p>
    <w:p>
      <w:pPr>
        <w:numPr>
          <w:ilvl w:val="0"/>
          <w:numId w:val="1014"/>
        </w:numPr>
        <w:pStyle w:val="Compact"/>
      </w:pPr>
      <w:r>
        <w:rPr>
          <w:bCs/>
          <w:b/>
        </w:rPr>
        <w:t xml:space="preserve">Material Decarbonization:</w:t>
      </w:r>
      <w:r>
        <w:t xml:space="preserve"> </w:t>
      </w:r>
      <w:r>
        <w:t xml:space="preserve">Prioritize sourcing of lower-carbon materials, including recycled content (as already implemented for packaging), bio-based alternatives with certified sustainable origins, or materials produced with renewable energy. Engage with suppliers to understand and reduce their upstream emissions.</w:t>
      </w:r>
    </w:p>
    <w:p>
      <w:pPr>
        <w:numPr>
          <w:ilvl w:val="0"/>
          <w:numId w:val="1014"/>
        </w:numPr>
        <w:pStyle w:val="Compact"/>
      </w:pPr>
      <w:r>
        <w:rPr>
          <w:bCs/>
          <w:b/>
        </w:rPr>
        <w:t xml:space="preserve">Circular Economy Expansion:</w:t>
      </w:r>
      <w:r>
        <w:t xml:space="preserve"> </w:t>
      </w:r>
      <w:r>
        <w:t xml:space="preserve">Strengthen the existing Product Take-back and Refurbishment Program (hzxhvhrmul). Explore design for longevity, repairability, and ease of disassembly to maximize the product\'s useful life and material recovery.</w:t>
      </w:r>
    </w:p>
    <w:p>
      <w:pPr>
        <w:numPr>
          <w:ilvl w:val="0"/>
          <w:numId w:val="1014"/>
        </w:numPr>
        <w:pStyle w:val="Compact"/>
      </w:pPr>
      <w:r>
        <w:rPr>
          <w:bCs/>
          <w:b/>
        </w:rPr>
        <w:t xml:space="preserve">Logistics Efficiency:</w:t>
      </w:r>
      <w:r>
        <w:t xml:space="preserve"> </w:t>
      </w:r>
      <w:r>
        <w:t xml:space="preserve">Optimize transportation routes, explore cleaner shipping fuels, and consolidate shipments to reduce logistics-related emissions.</w:t>
      </w:r>
    </w:p>
    <w:bookmarkEnd w:id="38"/>
    <w:bookmarkEnd w:id="39"/>
    <w:bookmarkStart w:id="40" w:name="conclusion"/>
    <w:p>
      <w:pPr>
        <w:pStyle w:val="Heading2"/>
      </w:pPr>
      <w:r>
        <w:t xml:space="preserve">6. Conclusion</w:t>
      </w:r>
    </w:p>
    <w:p>
      <w:pPr>
        <w:pStyle w:val="FirstParagraph"/>
      </w:pPr>
      <w:r>
        <w:t xml:space="preserve">The Product Carbon Footprint analysis for pnnpurssmp reveals a total cradle-to-grave emission of 22.50 kg CO2e per functional unit.</w:t>
      </w:r>
      <w:r>
        <w:t xml:space="preserve"> </w:t>
      </w:r>
      <w:r>
        <w:t xml:space="preserve">The use phase and material acquisition are identified as the primary drivers of this footprint.</w:t>
      </w:r>
      <w:r>
        <w:t xml:space="preserve"> </w:t>
      </w:r>
      <w:r>
        <w:t xml:space="preserve">By focusing on energy efficiency in use, sustainable material sourcing, and expanding circular economy initiatives,</w:t>
      </w:r>
      <w:r>
        <w:t xml:space="preserve"> </w:t>
      </w:r>
      <w:r>
        <w:t xml:space="preserve">devkioezep has significant opportunities to reduce the environmental impact of pnnpurssmp and demonstrate leadership</w:t>
      </w:r>
      <w:r>
        <w:t xml:space="preserve"> </w:t>
      </w:r>
      <w:r>
        <w:t xml:space="preserve">in product sustainability, aligning with the stringent requirements of the GHG Protocol and the evolving landscape of climate reporting.</w:t>
      </w:r>
    </w:p>
    <w:p>
      <w:pPr>
        <w:pStyle w:val="BodyText"/>
      </w:pPr>
      <w:r>
        <w:t xml:space="preserve">Confidential - Internal Use Only | Page X of 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pnnpurssmp</dc:title>
  <dc:creator/>
  <dc:description>High-detail Product Carbon Footprint (PCF) analysis report for pnnpurssmp by devkioezep, conducted by Senior Sustainability Consultant xzznxuindu, adhering to GHG Protocol and 2026 LSR Update, providing insights into environmental impact across its lifecycle.</dc:description>
  <cp:keywords/>
  <dcterms:created xsi:type="dcterms:W3CDTF">2026-05-30T20:13:59Z</dcterms:created>
  <dcterms:modified xsi:type="dcterms:W3CDTF">2026-05-30T20:13:59Z</dcterms:modified>
</cp:coreProperties>
</file>

<file path=docProps/custom.xml><?xml version="1.0" encoding="utf-8"?>
<Properties xmlns="http://schemas.openxmlformats.org/officeDocument/2006/custom-properties" xmlns:vt="http://schemas.openxmlformats.org/officeDocument/2006/docPropsVTypes"/>
</file>