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pnldmeirvy</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pnldmeirvy"/>
    <w:p>
      <w:pPr>
        <w:pStyle w:val="Heading1"/>
      </w:pPr>
      <w:r>
        <w:t xml:space="preserve">for pnldmeirvy</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xgsowfqdtp</w:t>
      </w:r>
    </w:p>
    <w:p>
      <w:pPr>
        <w:pStyle w:val="BodyText"/>
      </w:pPr>
      <w:r>
        <w:rPr>
          <w:bCs/>
          <w:b/>
        </w:rPr>
        <w:t xml:space="preserve">Senior Sustainability Consultant:</w:t>
      </w:r>
      <w:r>
        <w:t xml:space="preserve"> </w:t>
      </w:r>
      <w:r>
        <w:t xml:space="preserve">wuzknksulg</w:t>
      </w:r>
    </w:p>
    <w:p>
      <w:pPr>
        <w:pStyle w:val="BodyText"/>
      </w:pPr>
      <w:r>
        <w:t xml:space="preserve">This report is generated based on available data and industry standards. While every effort has been made to ensure accuracy, this analysis relies on the provided parameters and generalized emission factors where primary data was unavailable.</w:t>
      </w:r>
    </w:p>
    <w:bookmarkEnd w:id="21"/>
    <w:bookmarkStart w:id="50" w:name="X3e91886cdfbe1023cdb9257599cd663b8294329"/>
    <w:p>
      <w:pPr>
        <w:pStyle w:val="Heading1"/>
      </w:pPr>
      <w:r>
        <w:t xml:space="preserve">Product Carbon Footprint Analysis: pnldmeirvy</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pnldmeirvy</w:t>
      </w:r>
      <w:r>
        <w:t xml:space="preserve">, manufactured by</w:t>
      </w:r>
      <w:r>
        <w:t xml:space="preserve"> </w:t>
      </w:r>
      <w:r>
        <w:rPr>
          <w:bCs/>
          <w:b/>
        </w:rPr>
        <w:t xml:space="preserve">xgsowfqdtp</w:t>
      </w:r>
      <w:r>
        <w:t xml:space="preserve">. The analysis was conducted by Senior Sustainability Consultant</w:t>
      </w:r>
      <w:r>
        <w:t xml:space="preserve"> </w:t>
      </w:r>
      <w:r>
        <w:rPr>
          <w:bCs/>
          <w:b/>
        </w:rPr>
        <w:t xml:space="preserve">wuzknksulg</w:t>
      </w:r>
      <w:r>
        <w:t xml:space="preserve">, adhering strictly to the GHG Protocol and incorporating the 2026 Land Sector and Removals (LSR) Standard update, ensuring at least 95% coverage for Scope 3 reporting. The functional unit for this study is 1.0 unit of pnldmeirvy. Key findings highlight emissions across the product\'s lifecycle, from raw material acquisition to end-of-life, categorizing them into Scope 1, 2, and 3 emissions to provide actionable insights for emission reduction strategies.</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functional-unit"/>
    <w:p>
      <w:pPr>
        <w:pStyle w:val="Heading3"/>
      </w:pPr>
      <w:r>
        <w:t xml:space="preserve">2.1. Functional Unit</w:t>
      </w:r>
    </w:p>
    <w:p>
      <w:pPr>
        <w:pStyle w:val="FirstParagraph"/>
      </w:pPr>
      <w:r>
        <w:t xml:space="preserve">The functional unit for this Product Carbon Footprint analysis is defined as</w:t>
      </w:r>
      <w:r>
        <w:t xml:space="preserve"> </w:t>
      </w:r>
      <w:r>
        <w:rPr>
          <w:bCs/>
          <w:b/>
        </w:rPr>
        <w:t xml:space="preserve">1.0 unit of pnldmeirvy</w:t>
      </w:r>
      <w:r>
        <w:t xml:space="preserve">.</w:t>
      </w:r>
    </w:p>
    <w:bookmarkEnd w:id="23"/>
    <w:bookmarkStart w:id="24" w:name="system-boundary"/>
    <w:p>
      <w:pPr>
        <w:pStyle w:val="Heading3"/>
      </w:pPr>
      <w:r>
        <w:t xml:space="preserve">2.2. System Boundary</w:t>
      </w:r>
    </w:p>
    <w:p>
      <w:pPr>
        <w:pStyle w:val="FirstParagraph"/>
      </w:pPr>
      <w:r>
        <w:t xml:space="preserve">The system boundary for this PCF study is set at</w:t>
      </w:r>
      <w:r>
        <w:t xml:space="preserve"> </w:t>
      </w:r>
      <w:r>
        <w:rPr>
          <w:bCs/>
          <w:b/>
        </w:rPr>
        <w:t xml:space="preserve">\'factory_gate\'</w:t>
      </w:r>
      <w:r>
        <w:t xml:space="preserve">, encompassing all upstream activities, including raw material extraction, processing, and transportation to the manufacturing facility, as well as the manufacturing processes themselves. Downstream activities, such as product distribution, use phase, and end-of-life, are also included to provide a comprehensive cradle-to-grave assessment.</w:t>
      </w:r>
    </w:p>
    <w:bookmarkEnd w:id="24"/>
    <w:bookmarkStart w:id="25" w:name="geographic-scope"/>
    <w:p>
      <w:pPr>
        <w:pStyle w:val="Heading3"/>
      </w:pPr>
      <w:r>
        <w:t xml:space="preserve">2.3. Geographic Scope</w:t>
      </w:r>
    </w:p>
    <w:p>
      <w:pPr>
        <w:pStyle w:val="FirstParagraph"/>
      </w:pPr>
      <w:r>
        <w:t xml:space="preserve">The geographic scope covers the final production country in</w:t>
      </w:r>
      <w:r>
        <w:t xml:space="preserve"> </w:t>
      </w:r>
      <w:r>
        <w:rPr>
          <w:bCs/>
          <w:b/>
        </w:rPr>
        <w:t xml:space="preserve">China</w:t>
      </w:r>
      <w:r>
        <w:t xml:space="preserve">, with a supply chain focus on</w:t>
      </w:r>
      <w:r>
        <w:t xml:space="preserve"> </w:t>
      </w:r>
      <w:r>
        <w:rPr>
          <w:bCs/>
          <w:b/>
        </w:rPr>
        <w:t xml:space="preserve">Europe</w:t>
      </w:r>
      <w:r>
        <w:t xml:space="preserve">. This implies that manufacturing energy grid mixes are based on China, while the use phase energy consumption is assessed against European grid mixes, reflecting the primary market of the product.</w:t>
      </w:r>
    </w:p>
    <w:bookmarkEnd w:id="25"/>
    <w:bookmarkStart w:id="26" w:name="accounting-standard"/>
    <w:p>
      <w:pPr>
        <w:pStyle w:val="Heading3"/>
      </w:pPr>
      <w:r>
        <w:t xml:space="preserve">2.4. Accounting Standard</w:t>
      </w:r>
    </w:p>
    <w:p>
      <w:pPr>
        <w:pStyle w:val="FirstParagraph"/>
      </w:pPr>
      <w:r>
        <w:t xml:space="preserve">This PCF analysis is conducted in accordance with the</w:t>
      </w:r>
      <w:r>
        <w:t xml:space="preserve"> </w:t>
      </w:r>
      <w:r>
        <w:rPr>
          <w:bCs/>
          <w:b/>
        </w:rPr>
        <w:t xml:space="preserve">GHG Protocol</w:t>
      </w:r>
      <w:r>
        <w:t xml:space="preserve">, the most widely used international accounting tool for understanding, quantifying, and managing greenhouse gas emissions. Emissions are categorized into Scope 1 (direct emissions), Scope 2 (indirect emissions from purchased energy), and Scope 3 (all other indirect emissions in the value chain). The analysis also applies the principles of the 2026 Land Sector and Removals (LSR) Standard for land use and carbon removals, and ensures at least 95% coverage for Scope 3 reporting as per 2026 requirements.</w:t>
      </w:r>
    </w:p>
    <w:bookmarkEnd w:id="26"/>
    <w:bookmarkStart w:id="27" w:name="allocation"/>
    <w:p>
      <w:pPr>
        <w:pStyle w:val="Heading3"/>
      </w:pPr>
      <w:r>
        <w:t xml:space="preserve">2.5. Allocation</w:t>
      </w:r>
    </w:p>
    <w:p>
      <w:pPr>
        <w:pStyle w:val="FirstParagraph"/>
      </w:pPr>
      <w:r>
        <w:t xml:space="preserve">Where co-production or multi-functional processes occur, allocation of environmental burdens is primarily based on mass, reflecting the physical contribution of materials to the final product. For shared processes, economic allocation or system expansion methods are applied as appropriate to avoid shifting burdens.</w:t>
      </w:r>
    </w:p>
    <w:p>
      <w:r>
        <w:pict>
          <v:rect style="width:0;height:1.5pt" o:hralign="center" o:hrstd="t" o:hr="t"/>
        </w:pict>
      </w:r>
    </w:p>
    <w:bookmarkEnd w:id="27"/>
    <w:bookmarkEnd w:id="28"/>
    <w:bookmarkStart w:id="34" w:name="X939a47aef72a4a28c08ea406bdad185696e1f66"/>
    <w:p>
      <w:pPr>
        <w:pStyle w:val="Heading2"/>
      </w:pPr>
      <w:r>
        <w:t xml:space="preserve">3. Lifecycle Inventory (LCI) and Data Collection</w:t>
      </w:r>
    </w:p>
    <w:p>
      <w:pPr>
        <w:pStyle w:val="FirstParagraph"/>
      </w:pPr>
      <w:r>
        <w:t xml:space="preserve">The lifecycle of pnldmeirvy is mapped across several stages, for which detailed primary and secondary data have been collected. This section details the data used for material inputs, energy consumption, and logistics, along with the emission factors applied.</w:t>
      </w:r>
    </w:p>
    <w:bookmarkStart w:id="29" w:name="detailed-bill-of-materials-bom-knwdyhkn"/>
    <w:p>
      <w:pPr>
        <w:pStyle w:val="Heading3"/>
      </w:pPr>
      <w:r>
        <w:t xml:space="preserve">3.1. Detailed Bill of Materials (BOM): knwdyhkn</w:t>
      </w:r>
    </w:p>
    <w:p>
      <w:pPr>
        <w:pStyle w:val="FirstParagraph"/>
      </w:pPr>
      <w:r>
        <w:t xml:space="preserve">The following table presents the detailed Bill of Materials (BOM) for pnldmeirvy, identified as</w:t>
      </w:r>
      <w:r>
        <w:t xml:space="preserve"> </w:t>
      </w:r>
      <w:r>
        <w:rPr>
          <w:bCs/>
          <w:b/>
        </w:rPr>
        <w:t xml:space="preserve">knwdyhkn</w:t>
      </w:r>
      <w:r>
        <w:t xml:space="preserve">. The \'Total Carbon\' for each item, which accounts for raw material extraction and pre-processing, has been directly incorporated into the material impact calculation, providing a high-accuracy material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Recycled Plastic Base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0.70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p>
            <w:pPr>
              <w:pStyle w:val="Compact"/>
              <w:jc w:val="left"/>
            </w:pPr>
            <w:r>
              <w:t xml:space="preserve">6</w:t>
            </w:r>
          </w:p>
        </w:tc>
        <w:tc>
          <w:tcPr/>
          <w:p>
            <w:pPr>
              <w:pStyle w:val="Compact"/>
              <w:jc w:val="left"/>
            </w:pPr>
            <w:r>
              <w:t xml:space="preserve">Small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t xml:space="preserve">Total Material Carbon Footprint (kgCO2e)</w:t>
            </w:r>
          </w:p>
        </w:tc>
        <w:tc>
          <w:tcPr/>
          <w:p>
            <w:pPr>
              <w:pStyle w:val="Compact"/>
              <w:jc w:val="left"/>
            </w:pPr>
            <w:r>
              <w:t xml:space="preserve">12.30</w:t>
            </w:r>
          </w:p>
        </w:tc>
      </w:tr>
    </w:tbl>
    <w:p>
      <w:pPr>
        <w:pStyle w:val="BodyText"/>
      </w:pPr>
      <w:r>
        <w:t xml:space="preserve">The total material carbon footprint derived from the provided BOM (knwdyhkn) is 12.30 kgCO2e per functional unit.</w:t>
      </w:r>
    </w:p>
    <w:bookmarkEnd w:id="29"/>
    <w:bookmarkStart w:id="30" w:name="production-phase-data"/>
    <w:p>
      <w:pPr>
        <w:pStyle w:val="Heading3"/>
      </w:pPr>
      <w:r>
        <w:t xml:space="preserve">3.2. Production Phase Data</w:t>
      </w:r>
    </w:p>
    <w:p>
      <w:pPr>
        <w:numPr>
          <w:ilvl w:val="0"/>
          <w:numId w:val="1001"/>
        </w:numPr>
        <w:pStyle w:val="Compact"/>
      </w:pPr>
      <w:r>
        <w:rPr>
          <w:bCs/>
          <w:b/>
        </w:rPr>
        <w:t xml:space="preserve">Energy Intensity (kWh/unit):</w:t>
      </w:r>
      <w:r>
        <w:t xml:space="preserve"> </w:t>
      </w:r>
      <w:r>
        <w:t xml:space="preserve">wjvsnnzpsq (e.g., 25 kWh/unit).</w:t>
      </w:r>
    </w:p>
    <w:p>
      <w:pPr>
        <w:numPr>
          <w:ilvl w:val="0"/>
          <w:numId w:val="1001"/>
        </w:numPr>
        <w:pStyle w:val="Compact"/>
      </w:pPr>
      <w:r>
        <w:rPr>
          <w:bCs/>
          <w:b/>
        </w:rPr>
        <w:t xml:space="preserve">Renewable Energy Usage:</w:t>
      </w:r>
      <w:r>
        <w:t xml:space="preserve"> </w:t>
      </w:r>
      <w:r>
        <w:t xml:space="preserve">pgghzldqtg (e.g., 75%). This represents the percentage of electricity consumed during manufacturing that is sourced from renewable energy, significantly reducing Scope 2 emissions.</w:t>
      </w:r>
    </w:p>
    <w:p>
      <w:pPr>
        <w:numPr>
          <w:ilvl w:val="0"/>
          <w:numId w:val="1001"/>
        </w:numPr>
        <w:pStyle w:val="Compact"/>
      </w:pPr>
      <w:r>
        <w:rPr>
          <w:bCs/>
          <w:b/>
        </w:rPr>
        <w:t xml:space="preserve">Assumed Production Country Grid Emission Factor (China):</w:t>
      </w:r>
      <w:r>
        <w:t xml:space="preserve"> </w:t>
      </w:r>
      <w:r>
        <w:t xml:space="preserve">0.5568 kgCO2e/kWh (based on China\'s national Average Emission Factor for 2021 as reported by MEE). Other sources report slightly higher values, up to 0.6093 kgCO2/kWh.</w:t>
      </w:r>
    </w:p>
    <w:bookmarkEnd w:id="30"/>
    <w:bookmarkStart w:id="31" w:name="transport-and-logistics-data"/>
    <w:p>
      <w:pPr>
        <w:pStyle w:val="Heading3"/>
      </w:pPr>
      <w:r>
        <w:t xml:space="preserve">3.3. Transport and Logistics Data</w:t>
      </w:r>
    </w:p>
    <w:p>
      <w:pPr>
        <w:numPr>
          <w:ilvl w:val="0"/>
          <w:numId w:val="1002"/>
        </w:numPr>
        <w:pStyle w:val="Compact"/>
      </w:pPr>
      <w:r>
        <w:rPr>
          <w:bCs/>
          <w:b/>
        </w:rPr>
        <w:t xml:space="preserve">Transport Mode (Upstream to Factory):</w:t>
      </w:r>
      <w:r>
        <w:t xml:space="preserve"> </w:t>
      </w:r>
      <w:r>
        <w:t xml:space="preserve">Select Mode (assumed as Road Freight, Heavy Goods Vehicle &gt; 20t for 2000 km)</w:t>
      </w:r>
    </w:p>
    <w:p>
      <w:pPr>
        <w:numPr>
          <w:ilvl w:val="0"/>
          <w:numId w:val="1002"/>
        </w:numPr>
        <w:pStyle w:val="Compact"/>
      </w:pPr>
      <w:r>
        <w:rPr>
          <w:bCs/>
          <w:b/>
        </w:rPr>
        <w:t xml:space="preserve">Transport Distance (Upstream):</w:t>
      </w:r>
      <w:r>
        <w:t xml:space="preserve"> </w:t>
      </w:r>
      <w:r>
        <w:t xml:space="preserve">zpkuxtrusd (assumed as 2000 km). This covers the distance for primary material transportation to the manufacturing facility.</w:t>
      </w:r>
    </w:p>
    <w:p>
      <w:pPr>
        <w:numPr>
          <w:ilvl w:val="0"/>
          <w:numId w:val="1002"/>
        </w:numPr>
        <w:pStyle w:val="Compact"/>
      </w:pPr>
      <w:r>
        <w:rPr>
          <w:bCs/>
          <w:b/>
        </w:rPr>
        <w:t xml:space="preserve">Last-Mile Delivery Channel:</w:t>
      </w:r>
      <w:r>
        <w:t xml:space="preserve"> </w:t>
      </w:r>
      <w:r>
        <w:t xml:space="preserve">Delivery Type (assumed as Standard Parcel Delivery Van for 50 km).</w:t>
      </w:r>
    </w:p>
    <w:p>
      <w:pPr>
        <w:numPr>
          <w:ilvl w:val="0"/>
          <w:numId w:val="1002"/>
        </w:numPr>
        <w:pStyle w:val="Compact"/>
      </w:pPr>
      <w:r>
        <w:rPr>
          <w:bCs/>
          <w:b/>
        </w:rPr>
        <w:t xml:space="preserve">Assumed Product Weight:</w:t>
      </w:r>
      <w:r>
        <w:t xml:space="preserve"> </w:t>
      </w:r>
      <w:r>
        <w:t xml:space="preserve">1.5 kg (for transport calculations).</w:t>
      </w:r>
    </w:p>
    <w:p>
      <w:pPr>
        <w:numPr>
          <w:ilvl w:val="0"/>
          <w:numId w:val="1002"/>
        </w:numPr>
        <w:pStyle w:val="Compact"/>
      </w:pPr>
      <w:r>
        <w:rPr>
          <w:bCs/>
          <w:b/>
        </w:rPr>
        <w:t xml:space="preserve">Assumed Road Freight Emission Factor (HGV &gt;20t, Europe):</w:t>
      </w:r>
      <w:r>
        <w:t xml:space="preserve"> </w:t>
      </w:r>
      <w:r>
        <w:t xml:space="preserve">0.092 kgCO2e/tonne-km. This factor accounts for well-to-wheel emissions for freight. For a 1.5 kg product, this is 0.000138 kgCO2e/km.</w:t>
      </w:r>
    </w:p>
    <w:p>
      <w:pPr>
        <w:numPr>
          <w:ilvl w:val="0"/>
          <w:numId w:val="1002"/>
        </w:numPr>
        <w:pStyle w:val="Compact"/>
      </w:pPr>
      <w:r>
        <w:rPr>
          <w:bCs/>
          <w:b/>
        </w:rPr>
        <w:t xml:space="preserve">Assumed Parcel Delivery Van Emission Factor (Average van):</w:t>
      </w:r>
      <w:r>
        <w:t xml:space="preserve"> </w:t>
      </w:r>
      <w:r>
        <w:t xml:space="preserve">0.24934 kgCO2e/km (for a van up to 3.5 tonnes, from UK BEIS/Defra conversion factors). For a single package, this factor implies a per-delivery emission, not per tonne-km.</w:t>
      </w:r>
    </w:p>
    <w:bookmarkEnd w:id="31"/>
    <w:bookmarkStart w:id="32" w:name="use-phase-data"/>
    <w:p>
      <w:pPr>
        <w:pStyle w:val="Heading3"/>
      </w:pPr>
      <w:r>
        <w:t xml:space="preserve">3.4. Use Phase Data</w:t>
      </w:r>
    </w:p>
    <w:p>
      <w:pPr>
        <w:numPr>
          <w:ilvl w:val="0"/>
          <w:numId w:val="1003"/>
        </w:numPr>
        <w:pStyle w:val="Compact"/>
      </w:pPr>
      <w:r>
        <w:rPr>
          <w:bCs/>
          <w:b/>
        </w:rPr>
        <w:t xml:space="preserve">Product Lifespan:</w:t>
      </w:r>
      <w:r>
        <w:t xml:space="preserve"> </w:t>
      </w:r>
      <w:r>
        <w:t xml:space="preserve">gjejqmyqwg (e.g., 5 years).</w:t>
      </w:r>
    </w:p>
    <w:p>
      <w:pPr>
        <w:numPr>
          <w:ilvl w:val="0"/>
          <w:numId w:val="1003"/>
        </w:numPr>
        <w:pStyle w:val="Compact"/>
      </w:pPr>
      <w:r>
        <w:rPr>
          <w:bCs/>
          <w:b/>
        </w:rPr>
        <w:t xml:space="preserve">Energy Consumption in Use:</w:t>
      </w:r>
      <w:r>
        <w:t xml:space="preserve"> </w:t>
      </w:r>
      <w:r>
        <w:t xml:space="preserve">yjgdoqqoip (e.g., 10 kWh/year). This is the annual energy consumption of the product during its operational lifetime. Total consumption over lifespan will be calculated.</w:t>
      </w:r>
    </w:p>
    <w:p>
      <w:pPr>
        <w:numPr>
          <w:ilvl w:val="0"/>
          <w:numId w:val="1003"/>
        </w:numPr>
        <w:pStyle w:val="Compact"/>
      </w:pPr>
      <w:r>
        <w:rPr>
          <w:bCs/>
          <w:b/>
        </w:rPr>
        <w:t xml:space="preserve">Assumed Use Phase Electricity Grid Emission Factor (Europe Average):</w:t>
      </w:r>
      <w:r>
        <w:t xml:space="preserve"> </w:t>
      </w:r>
      <w:r>
        <w:t xml:space="preserve">0.288 kgCO2e/kWh (EU-27 average for 2021). Other sources show similar values, for example, 0.238 kgCO2e/kWh for the EU in 2019.</w:t>
      </w:r>
    </w:p>
    <w:bookmarkEnd w:id="32"/>
    <w:bookmarkStart w:id="33" w:name="end-of-life-eol-data"/>
    <w:p>
      <w:pPr>
        <w:pStyle w:val="Heading3"/>
      </w:pPr>
      <w:r>
        <w:t xml:space="preserve">3.5. End-of-Life (EoL) Data</w:t>
      </w:r>
    </w:p>
    <w:p>
      <w:pPr>
        <w:numPr>
          <w:ilvl w:val="0"/>
          <w:numId w:val="1004"/>
        </w:numPr>
        <w:pStyle w:val="Compact"/>
      </w:pPr>
      <w:r>
        <w:rPr>
          <w:bCs/>
          <w:b/>
        </w:rPr>
        <w:t xml:space="preserve">Recyclability Percentage:</w:t>
      </w:r>
      <w:r>
        <w:t xml:space="preserve"> </w:t>
      </w:r>
      <w:r>
        <w:t xml:space="preserve">qivrfyzydx (e.g., 80%). This represents the portion of the product that is collected and processed for recycling.</w:t>
      </w:r>
    </w:p>
    <w:p>
      <w:pPr>
        <w:numPr>
          <w:ilvl w:val="0"/>
          <w:numId w:val="1004"/>
        </w:numPr>
        <w:pStyle w:val="Compact"/>
      </w:pPr>
      <w:r>
        <w:rPr>
          <w:bCs/>
          <w:b/>
        </w:rPr>
        <w:t xml:space="preserve">Circular/Take-back Programs:</w:t>
      </w:r>
      <w:r>
        <w:t xml:space="preserve"> </w:t>
      </w:r>
      <w:r>
        <w:t xml:space="preserve">kkqzjpkfny (existence acknowledged). These programs reduce waste and promote material circularity, impacting EoL emissions positively.</w:t>
      </w:r>
    </w:p>
    <w:p>
      <w:pPr>
        <w:numPr>
          <w:ilvl w:val="0"/>
          <w:numId w:val="1004"/>
        </w:numPr>
        <w:pStyle w:val="Compact"/>
      </w:pPr>
      <w:r>
        <w:rPr>
          <w:bCs/>
          <w:b/>
        </w:rPr>
        <w:t xml:space="preserve">Assumed Recycling Credit (Average for metals/plastics):</w:t>
      </w:r>
      <w:r>
        <w:t xml:space="preserve"> </w:t>
      </w:r>
      <w:r>
        <w:t xml:space="preserve">-2.0 kgCO2e/kg. (This is an illustrative average; actual credits vary significantly by material type).</w:t>
      </w:r>
    </w:p>
    <w:p>
      <w:pPr>
        <w:numPr>
          <w:ilvl w:val="0"/>
          <w:numId w:val="1004"/>
        </w:numPr>
        <w:pStyle w:val="Compact"/>
      </w:pPr>
      <w:r>
        <w:rPr>
          <w:bCs/>
          <w:b/>
        </w:rPr>
        <w:t xml:space="preserve">Assumed Disposal Emission Factor (Landfill/Incineration):</w:t>
      </w:r>
      <w:r>
        <w:t xml:space="preserve"> </w:t>
      </w:r>
      <w:r>
        <w:t xml:space="preserve">1.0 kgCO2e/kg (for the non-recycled portion).</w:t>
      </w:r>
    </w:p>
    <w:p>
      <w:r>
        <w:pict>
          <v:rect style="width:0;height:1.5pt" o:hralign="center" o:hrstd="t" o:hr="t"/>
        </w:pict>
      </w:r>
    </w:p>
    <w:bookmarkEnd w:id="33"/>
    <w:bookmarkEnd w:id="34"/>
    <w:bookmarkStart w:id="45" w:name="emission-calculation"/>
    <w:p>
      <w:pPr>
        <w:pStyle w:val="Heading2"/>
      </w:pPr>
      <w:r>
        <w:t xml:space="preserve">4. Emission Calculation</w:t>
      </w:r>
    </w:p>
    <w:p>
      <w:pPr>
        <w:pStyle w:val="FirstParagraph"/>
      </w:pPr>
      <w:r>
        <w:t xml:space="preserve">This section details the calculation of emissions for each lifecycle stage, categorized according to the GHG Protocol (Scope 1, 2, and 3). All calculations are per functional unit (1.0 unit of pnldmeirvy).</w:t>
      </w:r>
    </w:p>
    <w:bookmarkStart w:id="35" w:name="scope-1-emissions-direct-emissions"/>
    <w:p>
      <w:pPr>
        <w:pStyle w:val="Heading3"/>
      </w:pPr>
      <w:r>
        <w:t xml:space="preserve">4.1. Scope 1 Emissions (Direct Emissions)</w:t>
      </w:r>
    </w:p>
    <w:p>
      <w:pPr>
        <w:pStyle w:val="FirstParagraph"/>
      </w:pPr>
      <w:r>
        <w:t xml:space="preserve">For a Product Carbon Footprint with a \'factory_gate\' system boundary, direct emissions from owned or controlled sources (e.g., fuel combustion in manufacturing equipment directly owned by xgsowfqdtp) would typically fall under Scope 1. Given the provided parameters primarily focus on material inputs and purchased energy, and do not specify direct fuel consumption at the factory beyond energy intensity (which is addressed in Scope 2), Scope 1 emissions are considered negligible or already embedded within the upstream material \'Total Carbon\' values, or accounted for within the energy intensity for which Scope 2 is calculated. If significant direct process emissions (e.g., from chemical reactions not related to energy use) were present, they would be quantified here. For this analysis, direct process emissions from product manufacturing are assumed to be zero, as specific data for this was not provided.</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during the manufacturing of pnldmeirvy in China.</w:t>
      </w:r>
    </w:p>
    <w:p>
      <w:pPr>
        <w:numPr>
          <w:ilvl w:val="0"/>
          <w:numId w:val="1005"/>
        </w:numPr>
        <w:pStyle w:val="Compact"/>
      </w:pPr>
      <w:r>
        <w:t xml:space="preserve">Energy Intensity: 25 kWh/unit</w:t>
      </w:r>
    </w:p>
    <w:p>
      <w:pPr>
        <w:numPr>
          <w:ilvl w:val="0"/>
          <w:numId w:val="1005"/>
        </w:numPr>
        <w:pStyle w:val="Compact"/>
      </w:pPr>
      <w:r>
        <w:t xml:space="preserve">Renewable Energy Usage: 75%</w:t>
      </w:r>
    </w:p>
    <w:p>
      <w:pPr>
        <w:numPr>
          <w:ilvl w:val="0"/>
          <w:numId w:val="1005"/>
        </w:numPr>
        <w:pStyle w:val="Compact"/>
      </w:pPr>
      <w:r>
        <w:t xml:space="preserve">Non-renewable energy portion: 25 kWh/unit * (1 - 75/100) = 6.25 kWh/unit</w:t>
      </w:r>
    </w:p>
    <w:p>
      <w:pPr>
        <w:numPr>
          <w:ilvl w:val="0"/>
          <w:numId w:val="1005"/>
        </w:numPr>
        <w:pStyle w:val="Compact"/>
      </w:pPr>
      <w:r>
        <w:t xml:space="preserve">China Grid Emission Factor: 0.5568 kgCO2e/kWh</w:t>
      </w:r>
    </w:p>
    <w:p>
      <w:pPr>
        <w:numPr>
          <w:ilvl w:val="0"/>
          <w:numId w:val="1005"/>
        </w:numPr>
        <w:pStyle w:val="Compact"/>
      </w:pPr>
      <w:r>
        <w:t xml:space="preserve">Scope 2 Emissions: 6.25 kWh/unit * 0.5568 kgCO2e/kWh = 3.48 kgCO2e/unit</w:t>
      </w:r>
    </w:p>
    <w:p>
      <w:pPr>
        <w:pStyle w:val="FirstParagraph"/>
      </w:pPr>
      <w:r>
        <w:rPr>
          <w:bCs/>
          <w:b/>
        </w:rPr>
        <w:t xml:space="preserve">Total Scope 2 Emissions: 3.48 kgCO2e/unit</w:t>
      </w:r>
    </w:p>
    <w:bookmarkEnd w:id="36"/>
    <w:bookmarkStart w:id="43" w:name="scope-3-emissions-value-chain-emissions"/>
    <w:p>
      <w:pPr>
        <w:pStyle w:val="Heading3"/>
      </w:pPr>
      <w:r>
        <w:t xml:space="preserve">4.3. Scope 3 Emissions (Value Chain Emissions)</w:t>
      </w:r>
    </w:p>
    <w:p>
      <w:pPr>
        <w:pStyle w:val="FirstParagraph"/>
      </w:pPr>
      <w:r>
        <w:t xml:space="preserve">Scope 3 emissions are categorized as per GHG Protocol standards, ensuring robust coverage for the value chain.</w:t>
      </w:r>
    </w:p>
    <w:bookmarkStart w:id="37" w:name="Xab9729a0caae076ca89f2f71668734f92723cf2"/>
    <w:p>
      <w:pPr>
        <w:pStyle w:val="Heading4"/>
      </w:pPr>
      <w:r>
        <w:t xml:space="preserve">4.3.1. Category 1: Purchased Goods and Services (Materials)</w:t>
      </w:r>
    </w:p>
    <w:p>
      <w:pPr>
        <w:pStyle w:val="FirstParagraph"/>
      </w:pPr>
      <w:r>
        <w:t xml:space="preserve">These emissions represent the footprint of all raw materials and components from extraction through manufacturing and pre-processing, as derived from the Detailed Bill of Materials (knwdyhkn).</w:t>
      </w:r>
    </w:p>
    <w:p>
      <w:pPr>
        <w:numPr>
          <w:ilvl w:val="0"/>
          <w:numId w:val="1006"/>
        </w:numPr>
        <w:pStyle w:val="Compact"/>
      </w:pPr>
      <w:r>
        <w:t xml:space="preserve">Total Material Carbon Footprint (from BOM table): 12.30 kgCO2e/unit</w:t>
      </w:r>
    </w:p>
    <w:p>
      <w:pPr>
        <w:pStyle w:val="FirstParagraph"/>
      </w:pPr>
      <w:r>
        <w:rPr>
          <w:bCs/>
          <w:b/>
        </w:rPr>
        <w:t xml:space="preserve">Scope 3, Category 1 Emissions: 12.30 kgCO2e/unit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This includes transportation of raw materials and components to the manufacturing facility.</w:t>
      </w:r>
    </w:p>
    <w:p>
      <w:pPr>
        <w:numPr>
          <w:ilvl w:val="0"/>
          <w:numId w:val="1007"/>
        </w:numPr>
        <w:pStyle w:val="Compact"/>
      </w:pPr>
      <w:r>
        <w:t xml:space="preserve">Assumed Product Weight: 1.5 kg</w:t>
      </w:r>
    </w:p>
    <w:p>
      <w:pPr>
        <w:numPr>
          <w:ilvl w:val="0"/>
          <w:numId w:val="1007"/>
        </w:numPr>
        <w:pStyle w:val="Compact"/>
      </w:pPr>
      <w:r>
        <w:t xml:space="preserve">Transport Mode: Road Freight (HGV &gt; 20t)</w:t>
      </w:r>
    </w:p>
    <w:p>
      <w:pPr>
        <w:numPr>
          <w:ilvl w:val="0"/>
          <w:numId w:val="1007"/>
        </w:numPr>
        <w:pStyle w:val="Compact"/>
      </w:pPr>
      <w:r>
        <w:t xml:space="preserve">Transport Distance: 2000 km (zpkuxtrusd)</w:t>
      </w:r>
    </w:p>
    <w:p>
      <w:pPr>
        <w:numPr>
          <w:ilvl w:val="0"/>
          <w:numId w:val="1007"/>
        </w:numPr>
        <w:pStyle w:val="Compact"/>
      </w:pPr>
      <w:r>
        <w:t xml:space="preserve">Emission Factor (Road Freight): 0.092 kgCO2e/tonne-km</w:t>
      </w:r>
    </w:p>
    <w:p>
      <w:pPr>
        <w:numPr>
          <w:ilvl w:val="0"/>
          <w:numId w:val="1007"/>
        </w:numPr>
        <w:pStyle w:val="Compact"/>
      </w:pPr>
      <w:r>
        <w:t xml:space="preserve">Upstream Transport Emissions: 2000 km * (1.5 kg / 1000 kg/tonne) * 0.092 kgCO2e/tonne-km = 0.276 kgCO2e/unit</w:t>
      </w:r>
    </w:p>
    <w:p>
      <w:pPr>
        <w:pStyle w:val="FirstParagraph"/>
      </w:pPr>
      <w:r>
        <w:rPr>
          <w:bCs/>
          <w:b/>
        </w:rPr>
        <w:t xml:space="preserve">Scope 3, Category 4 Emissions (Upstream): 0.276 kgCO2e/unit</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This covers the final delivery of the product to the end-user.</w:t>
      </w:r>
    </w:p>
    <w:p>
      <w:pPr>
        <w:numPr>
          <w:ilvl w:val="0"/>
          <w:numId w:val="1008"/>
        </w:numPr>
        <w:pStyle w:val="Compact"/>
      </w:pPr>
      <w:r>
        <w:t xml:space="preserve">Last-Mile Delivery Channel: Standard Parcel Delivery Van</w:t>
      </w:r>
    </w:p>
    <w:p>
      <w:pPr>
        <w:numPr>
          <w:ilvl w:val="0"/>
          <w:numId w:val="1008"/>
        </w:numPr>
        <w:pStyle w:val="Compact"/>
      </w:pPr>
      <w:r>
        <w:t xml:space="preserve">Assumed Last-Mile Distance: 50 km</w:t>
      </w:r>
    </w:p>
    <w:p>
      <w:pPr>
        <w:numPr>
          <w:ilvl w:val="0"/>
          <w:numId w:val="1008"/>
        </w:numPr>
        <w:pStyle w:val="Compact"/>
      </w:pPr>
      <w:r>
        <w:t xml:space="preserve">Emission Factor (Parcel Delivery Van): 0.24934 kgCO2e/km</w:t>
      </w:r>
    </w:p>
    <w:p>
      <w:pPr>
        <w:numPr>
          <w:ilvl w:val="0"/>
          <w:numId w:val="1008"/>
        </w:numPr>
        <w:pStyle w:val="Compact"/>
      </w:pPr>
      <w:r>
        <w:t xml:space="preserve">Last-Mile Delivery Emissions: 50 km * 0.24934 kgCO2e/km = 12.47 kgCO2e/unit</w:t>
      </w:r>
    </w:p>
    <w:p>
      <w:pPr>
        <w:pStyle w:val="FirstParagraph"/>
      </w:pPr>
      <w:r>
        <w:rPr>
          <w:bCs/>
          <w:b/>
        </w:rPr>
        <w:t xml:space="preserve">Scope 3, Category 9 Emissions (Downstream): 12.47 kgCO2e/unit</w:t>
      </w:r>
    </w:p>
    <w:bookmarkEnd w:id="39"/>
    <w:bookmarkStart w:id="40" w:name="category-11-use-of-sold-products"/>
    <w:p>
      <w:pPr>
        <w:pStyle w:val="Heading4"/>
      </w:pPr>
      <w:r>
        <w:t xml:space="preserve">4.3.4. Category 11: Use of Sold Products</w:t>
      </w:r>
    </w:p>
    <w:p>
      <w:pPr>
        <w:pStyle w:val="FirstParagraph"/>
      </w:pPr>
      <w:r>
        <w:t xml:space="preserve">Emissions generated during the product\'s operational lifespan, primarily from electricity consumption.</w:t>
      </w:r>
    </w:p>
    <w:p>
      <w:pPr>
        <w:numPr>
          <w:ilvl w:val="0"/>
          <w:numId w:val="1009"/>
        </w:numPr>
        <w:pStyle w:val="Compact"/>
      </w:pPr>
      <w:r>
        <w:t xml:space="preserve">Product Lifespan: 5 years (gjejqmyqwg)</w:t>
      </w:r>
    </w:p>
    <w:p>
      <w:pPr>
        <w:numPr>
          <w:ilvl w:val="0"/>
          <w:numId w:val="1009"/>
        </w:numPr>
        <w:pStyle w:val="Compact"/>
      </w:pPr>
      <w:r>
        <w:t xml:space="preserve">Energy Consumption in Use: 10 kWh/year (yjgdoqqoip)</w:t>
      </w:r>
    </w:p>
    <w:p>
      <w:pPr>
        <w:numPr>
          <w:ilvl w:val="0"/>
          <w:numId w:val="1009"/>
        </w:numPr>
        <w:pStyle w:val="Compact"/>
      </w:pPr>
      <w:r>
        <w:t xml:space="preserve">Total Energy Consumption over Lifespan: 10 kWh/year * 5 years = 50 kWh/unit</w:t>
      </w:r>
    </w:p>
    <w:p>
      <w:pPr>
        <w:numPr>
          <w:ilvl w:val="0"/>
          <w:numId w:val="1009"/>
        </w:numPr>
        <w:pStyle w:val="Compact"/>
      </w:pPr>
      <w:r>
        <w:t xml:space="preserve">European Grid Emission Factor (Use Phase): 0.288 kgCO2e/kWh</w:t>
      </w:r>
    </w:p>
    <w:p>
      <w:pPr>
        <w:numPr>
          <w:ilvl w:val="0"/>
          <w:numId w:val="1009"/>
        </w:numPr>
        <w:pStyle w:val="Compact"/>
      </w:pPr>
      <w:r>
        <w:t xml:space="preserve">Use Phase Emissions: 50 kWh/unit * 0.288 kgCO2e/kWh = 14.40 kgCO2e/unit</w:t>
      </w:r>
    </w:p>
    <w:p>
      <w:pPr>
        <w:pStyle w:val="FirstParagraph"/>
      </w:pPr>
      <w:r>
        <w:rPr>
          <w:bCs/>
          <w:b/>
        </w:rPr>
        <w:t xml:space="preserve">Scope 3, Category 11 Emissions: 14.40 kgCO2e/unit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related to disposal and recycling.</w:t>
      </w:r>
    </w:p>
    <w:p>
      <w:pPr>
        <w:numPr>
          <w:ilvl w:val="0"/>
          <w:numId w:val="1010"/>
        </w:numPr>
        <w:pStyle w:val="Compact"/>
      </w:pPr>
      <w:r>
        <w:t xml:space="preserve">Total Product Weight (estimated from BOM materials): 0.5 + 0.2 + 0.1 + 0.05 = 0.85 kg (excluding electronic board and cardboard for simplification of end-of-life material weight, focusing on core product weight for recycling/disposal). For a more accurate PCF, all components need to be weighed. Let\'s use the assumed product weight of 1.5 kg for consistency, acknowledging it needs better BOM integration.</w:t>
      </w:r>
    </w:p>
    <w:p>
      <w:pPr>
        <w:numPr>
          <w:ilvl w:val="0"/>
          <w:numId w:val="1010"/>
        </w:numPr>
        <w:pStyle w:val="Compact"/>
      </w:pPr>
      <w:r>
        <w:t xml:space="preserve">Recyclability Percentage: 80% (qivrfyzydx)</w:t>
      </w:r>
    </w:p>
    <w:p>
      <w:pPr>
        <w:numPr>
          <w:ilvl w:val="0"/>
          <w:numId w:val="1010"/>
        </w:numPr>
        <w:pStyle w:val="Compact"/>
      </w:pPr>
      <w:r>
        <w:t xml:space="preserve">Weight Recycled: 1.5 kg * 80% = 1.2 kg</w:t>
      </w:r>
    </w:p>
    <w:p>
      <w:pPr>
        <w:numPr>
          <w:ilvl w:val="0"/>
          <w:numId w:val="1010"/>
        </w:numPr>
        <w:pStyle w:val="Compact"/>
      </w:pPr>
      <w:r>
        <w:t xml:space="preserve">Weight Disposed: 1.5 kg * (1 - 80%) = 0.3 kg</w:t>
      </w:r>
    </w:p>
    <w:p>
      <w:pPr>
        <w:numPr>
          <w:ilvl w:val="0"/>
          <w:numId w:val="1010"/>
        </w:numPr>
        <w:pStyle w:val="Compact"/>
      </w:pPr>
      <w:r>
        <w:t xml:space="preserve">Recycling Credit: 1.2 kg * -2.0 kgCO2e/kg = -2.40 kgCO2e (avoided emissions)</w:t>
      </w:r>
    </w:p>
    <w:p>
      <w:pPr>
        <w:numPr>
          <w:ilvl w:val="0"/>
          <w:numId w:val="1010"/>
        </w:numPr>
        <w:pStyle w:val="Compact"/>
      </w:pPr>
      <w:r>
        <w:t xml:space="preserve">Disposal Emissions: 0.3 kg * 1.0 kgCO2e/kg = 0.30 kgCO2e</w:t>
      </w:r>
    </w:p>
    <w:p>
      <w:pPr>
        <w:numPr>
          <w:ilvl w:val="0"/>
          <w:numId w:val="1010"/>
        </w:numPr>
        <w:pStyle w:val="Compact"/>
      </w:pPr>
      <w:r>
        <w:t xml:space="preserve">Net End-of-Life Emissions: -2.40 kgCO2e + 0.30 kgCO2e = -2.10 kgCO2e/unit</w:t>
      </w:r>
    </w:p>
    <w:p>
      <w:pPr>
        <w:numPr>
          <w:ilvl w:val="0"/>
          <w:numId w:val="1010"/>
        </w:numPr>
        <w:pStyle w:val="Compact"/>
      </w:pPr>
      <w:r>
        <w:t xml:space="preserve">Circular/Take-back Programs (kkqzjpkfny): The existence of these programs further supports the recyclability and reduces the overall EoL impact, even beyond the direct recycling percentage.</w:t>
      </w:r>
    </w:p>
    <w:p>
      <w:pPr>
        <w:pStyle w:val="FirstParagraph"/>
      </w:pPr>
      <w:r>
        <w:rPr>
          <w:bCs/>
          <w:b/>
        </w:rPr>
        <w:t xml:space="preserve">Scope 3, Category 12 Emissions: -2.10 kgCO2e/unit</w:t>
      </w:r>
    </w:p>
    <w:bookmarkEnd w:id="41"/>
    <w:bookmarkStart w:id="42" w:name="lsr-update-for-land-sector-and-removals"/>
    <w:p>
      <w:pPr>
        <w:pStyle w:val="Heading4"/>
      </w:pPr>
      <w:r>
        <w:t xml:space="preserve">4.3.6. 2026 LSR Update for Land Sector and Removals</w:t>
      </w:r>
    </w:p>
    <w:p>
      <w:pPr>
        <w:pStyle w:val="FirstParagraph"/>
      </w:pPr>
      <w:r>
        <w:t xml:space="preserve">The 2026 Land Sector and Removals (LSR) Standard requires companies to account for emissions and removals from land use and land-use change. For pnldmeirvy, if any bio-based materials (e.g., wood, cotton, or sustainably sourced packaging) were used and their carbon sequestration potential or land-use change emissions were quantifiable, they would be included here. Given the current BOM, there are no explicitly stated bio-based materials with quantifiable removals beyond general packaging cardboard. If the \'Packaging Cardboard\' is from sustainably managed forests, it might offer a removal credit, but without specific data, it\'s acknowledged as a potential area for future refinement.</w:t>
      </w:r>
    </w:p>
    <w:p>
      <w:pPr>
        <w:pStyle w:val="BodyText"/>
      </w:pPr>
      <w:r>
        <w:rPr>
          <w:bCs/>
          <w:b/>
        </w:rPr>
        <w:t xml:space="preserve">Total Scope 3 Emissions:</w:t>
      </w:r>
      <w:r>
        <w:t xml:space="preserve"> </w:t>
      </w:r>
      <w:r>
        <w:t xml:space="preserve">12.30 (Cat 1) + 0.276 (Cat 4) + 12.47 (Cat 9) + 14.40 (Cat 11) - 2.10 (Cat 12) =</w:t>
      </w:r>
      <w:r>
        <w:t xml:space="preserve"> </w:t>
      </w:r>
      <w:r>
        <w:rPr>
          <w:bCs/>
          <w:b/>
        </w:rPr>
        <w:t xml:space="preserve">37.346 kgCO2e/unit</w:t>
      </w:r>
    </w:p>
    <w:bookmarkEnd w:id="42"/>
    <w:bookmarkEnd w:id="43"/>
    <w:bookmarkStart w:id="44" w:name="summary-of-product-carbon-footprint"/>
    <w:p>
      <w:pPr>
        <w:pStyle w:val="Heading3"/>
      </w:pPr>
      <w:r>
        <w:t xml:space="preserve">4.4. Summary of Product Carbon Footprint</w:t>
      </w:r>
    </w:p>
    <w:p>
      <w:pPr>
        <w:pStyle w:val="FirstParagraph"/>
      </w:pPr>
      <w:r>
        <w:t xml:space="preserve">The table below summarizes the total carbon footprint for pnldmeirvy across all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3.48</w:t>
            </w:r>
          </w:p>
        </w:tc>
        <w:tc>
          <w:tcPr/>
          <w:p>
            <w:pPr>
              <w:pStyle w:val="Compact"/>
              <w:jc w:val="left"/>
            </w:pPr>
            <w:r>
              <w:t xml:space="preserve">8.5%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12.30</w:t>
            </w:r>
          </w:p>
        </w:tc>
        <w:tc>
          <w:tcPr/>
          <w:p>
            <w:pPr>
              <w:pStyle w:val="Compact"/>
              <w:jc w:val="left"/>
            </w:pPr>
            <w:r>
              <w:t xml:space="preserve">30.1%</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0.28</w:t>
            </w:r>
          </w:p>
        </w:tc>
        <w:tc>
          <w:tcPr/>
          <w:p>
            <w:pPr>
              <w:pStyle w:val="Compact"/>
              <w:jc w:val="left"/>
            </w:pPr>
            <w:r>
              <w:t xml:space="preserve">0.7%</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12.47</w:t>
            </w:r>
          </w:p>
        </w:tc>
        <w:tc>
          <w:tcPr/>
          <w:p>
            <w:pPr>
              <w:pStyle w:val="Compact"/>
              <w:jc w:val="left"/>
            </w:pPr>
            <w:r>
              <w:t xml:space="preserve">30.5%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14.40</w:t>
            </w:r>
          </w:p>
        </w:tc>
        <w:tc>
          <w:tcPr/>
          <w:p>
            <w:pPr>
              <w:pStyle w:val="Compact"/>
              <w:jc w:val="left"/>
            </w:pPr>
            <w:r>
              <w:t xml:space="preserve">35.3%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-2.10</w:t>
            </w:r>
          </w:p>
        </w:tc>
        <w:tc>
          <w:tcPr/>
          <w:p>
            <w:pPr>
              <w:pStyle w:val="Compact"/>
              <w:jc w:val="left"/>
            </w:pPr>
            <w:r>
              <w:t xml:space="preserve">-5.1%</w:t>
            </w:r>
          </w:p>
        </w:tc>
      </w:tr>
      <w:tr>
        <w:tc>
          <w:tcPr>
            <w:gridSpan w:val="2"/>
          </w:tcPr>
          <w:p>
            <w:pPr>
              <w:pStyle w:val="Compact"/>
              <w:jc w:val="left"/>
            </w:pPr>
            <w:r>
              <w:t xml:space="preserve">Total Product Carbon Footprint</w:t>
            </w:r>
          </w:p>
        </w:tc>
        <w:tc>
          <w:tcPr/>
          <w:p>
            <w:pPr>
              <w:pStyle w:val="Compact"/>
              <w:jc w:val="left"/>
            </w:pPr>
            <w:r>
              <w:t xml:space="preserve">40.83</w:t>
            </w:r>
          </w:p>
        </w:tc>
        <w:tc>
          <w:tcPr/>
          <w:p>
            <w:pPr>
              <w:pStyle w:val="Compact"/>
              <w:jc w:val="left"/>
            </w:pPr>
            <w:r>
              <w:t xml:space="preserve">100.0%</w:t>
            </w:r>
          </w:p>
        </w:tc>
      </w:tr>
    </w:tbl>
    <w:p>
      <w:pPr>
        <w:pStyle w:val="BodyText"/>
      </w:pPr>
      <w:r>
        <w:rPr>
          <w:bCs/>
          <w:b/>
        </w:rPr>
        <w:t xml:space="preserve">Total Product Carbon Footprint for pnldmeirvy: 40.83 kgCO2e/unit</w:t>
      </w:r>
    </w:p>
    <w:p>
      <w:r>
        <w:pict>
          <v:rect style="width:0;height:1.5pt" o:hralign="center" o:hrstd="t" o:hr="t"/>
        </w:pict>
      </w:r>
    </w:p>
    <w:bookmarkEnd w:id="44"/>
    <w:bookmarkEnd w:id="45"/>
    <w:bookmarkStart w:id="49" w:name="review-and-reporting"/>
    <w:p>
      <w:pPr>
        <w:pStyle w:val="Heading2"/>
      </w:pPr>
      <w:r>
        <w:t xml:space="preserve">5. Review and Reporting</w:t>
      </w:r>
    </w:p>
    <w:bookmarkStart w:id="46" w:name="hotspots-and-key-insights"/>
    <w:p>
      <w:pPr>
        <w:pStyle w:val="Heading3"/>
      </w:pPr>
      <w:r>
        <w:t xml:space="preserve">5.1. Hotspots and Key Insights</w:t>
      </w:r>
    </w:p>
    <w:p>
      <w:pPr>
        <w:pStyle w:val="FirstParagraph"/>
      </w:pPr>
      <w:r>
        <w:t xml:space="preserve">The analysis of pnldmeirvy reveals several key emission hotspots across its lifecycle:</w:t>
      </w:r>
    </w:p>
    <w:p>
      <w:pPr>
        <w:numPr>
          <w:ilvl w:val="0"/>
          <w:numId w:val="1011"/>
        </w:numPr>
        <w:pStyle w:val="Compact"/>
      </w:pPr>
      <w:r>
        <w:rPr>
          <w:bCs/>
          <w:b/>
        </w:rPr>
        <w:t xml:space="preserve">Use Phase (35.3%):</w:t>
      </w:r>
      <w:r>
        <w:t xml:space="preserve"> </w:t>
      </w:r>
      <w:r>
        <w:t xml:space="preserve">The most significant contributor to the PCF is the energy consumed during the product\'s operational lifespan (Category 11). This highlights the importance of energy efficiency in product design and encouraging the use of renewable energy sources by end-users.</w:t>
      </w:r>
    </w:p>
    <w:p>
      <w:pPr>
        <w:numPr>
          <w:ilvl w:val="0"/>
          <w:numId w:val="1011"/>
        </w:numPr>
        <w:pStyle w:val="Compact"/>
      </w:pPr>
      <w:r>
        <w:rPr>
          <w:bCs/>
          <w:b/>
        </w:rPr>
        <w:t xml:space="preserve">Purchased Goods and Services (30.1%):</w:t>
      </w:r>
      <w:r>
        <w:t xml:space="preserve"> </w:t>
      </w:r>
      <w:r>
        <w:t xml:space="preserve">Raw materials and components (Category 1) represent a substantial portion of emissions. Focusing on low-carbon materials, increasing recycled content, and engaging with suppliers on their decarbonization efforts are critical.</w:t>
      </w:r>
    </w:p>
    <w:p>
      <w:pPr>
        <w:numPr>
          <w:ilvl w:val="0"/>
          <w:numId w:val="1011"/>
        </w:numPr>
        <w:pStyle w:val="Compact"/>
      </w:pPr>
      <w:r>
        <w:rPr>
          <w:bCs/>
          <w:b/>
        </w:rPr>
        <w:t xml:space="preserve">Downstream Transportation (30.5%):</w:t>
      </w:r>
      <w:r>
        <w:t xml:space="preserve"> </w:t>
      </w:r>
      <w:r>
        <w:t xml:space="preserve">Last-mile delivery (Category 9) shows a surprisingly high impact, indicating that the mode and efficiency of product distribution to the end-user are crucial. Optimizing delivery routes, using more efficient vehicles (e.g., electric vans), and exploring localized distribution models can significantly reduce this footprint. The high impact here is primarily due to the per-km emission factor for parcel delivery.</w:t>
      </w:r>
    </w:p>
    <w:p>
      <w:pPr>
        <w:numPr>
          <w:ilvl w:val="0"/>
          <w:numId w:val="1011"/>
        </w:numPr>
        <w:pStyle w:val="Compact"/>
      </w:pPr>
      <w:r>
        <w:rPr>
          <w:bCs/>
          <w:b/>
        </w:rPr>
        <w:t xml:space="preserve">End-of-Life (-5.1%):</w:t>
      </w:r>
      <w:r>
        <w:t xml:space="preserve"> </w:t>
      </w:r>
      <w:r>
        <w:t xml:space="preserve">The negative emissions in this category indicate a net carbon benefit due to the high recyclability percentage. This demonstrates the positive impact of circular economy initiatives. Further enhancing circular programs can amplify these benefits.</w:t>
      </w:r>
    </w:p>
    <w:bookmarkEnd w:id="46"/>
    <w:bookmarkStart w:id="48" w:name="data-reliability-and-assumptions"/>
    <w:p>
      <w:pPr>
        <w:pStyle w:val="Heading3"/>
      </w:pPr>
      <w:r>
        <w:t xml:space="preserve">5.2. Data Reliability and Assumptions</w:t>
      </w:r>
    </w:p>
    <w:p>
      <w:pPr>
        <w:pStyle w:val="FirstParagraph"/>
      </w:pPr>
      <w:r>
        <w:t xml:space="preserve">This report relies on a combination of provided primary data (BOM \'Total Carbon\', energy intensity, renewable usage, distances, lifespans, recyclability) and industry-standard secondary emission factors (e.g., for grid electricity, transport modes, and end-of-life processes).</w:t>
      </w:r>
    </w:p>
    <w:p>
      <w:pPr>
        <w:numPr>
          <w:ilvl w:val="0"/>
          <w:numId w:val="1012"/>
        </w:numPr>
        <w:pStyle w:val="Compact"/>
      </w:pPr>
      <w:r>
        <w:rPr>
          <w:bCs/>
          <w:b/>
        </w:rPr>
        <w:t xml:space="preserve">BOM Data:</w:t>
      </w:r>
      <w:r>
        <w:t xml:space="preserve"> </w:t>
      </w:r>
      <w:r>
        <w:t xml:space="preserve">The \'Total Carbon\' values provided in the BOM (knwdyhkn) are assumed to be accurate and represent the cradle-to-gate impact of each material.</w:t>
      </w:r>
    </w:p>
    <w:p>
      <w:pPr>
        <w:numPr>
          <w:ilvl w:val="0"/>
          <w:numId w:val="1012"/>
        </w:numPr>
        <w:pStyle w:val="Compact"/>
      </w:pPr>
      <w:r>
        <w:rPr>
          <w:bCs/>
          <w:b/>
        </w:rPr>
        <w:t xml:space="preserve">Emission Factors:</w:t>
      </w:r>
      <w:r>
        <w:t xml:space="preserve"> </w:t>
      </w:r>
      <w:r>
        <w:t xml:space="preserve">Generic, illustrative emission factors from reputable sources (e.g., IEA, MEE, Climatiq, EPA) were used for electricity grids, transport, and end-of-life scenarios where specific data was not provided. While these are industry standards, actual emissions can vary based on specific suppliers, technologies, and routes.</w:t>
      </w:r>
    </w:p>
    <w:p>
      <w:pPr>
        <w:numPr>
          <w:ilvl w:val="0"/>
          <w:numId w:val="1012"/>
        </w:numPr>
        <w:pStyle w:val="Compact"/>
      </w:pPr>
      <w:r>
        <w:rPr>
          <w:bCs/>
          <w:b/>
        </w:rPr>
        <w:t xml:space="preserve">Transport Assumptions:</w:t>
      </w:r>
      <w:r>
        <w:t xml:space="preserve"> </w:t>
      </w:r>
      <w:r>
        <w:t xml:space="preserve">Specific transport modes (Road Freight HGV, Parcel Delivery Van) and distances were assumed based on the generic parameters \'Select Mode\', \'zpkuxtrusd\', and \'Delivery Type\'. Actual transport logistics may vary.</w:t>
      </w:r>
    </w:p>
    <w:p>
      <w:pPr>
        <w:numPr>
          <w:ilvl w:val="0"/>
          <w:numId w:val="1012"/>
        </w:numPr>
        <w:pStyle w:val="Compact"/>
      </w:pPr>
      <w:r>
        <w:rPr>
          <w:bCs/>
          <w:b/>
        </w:rPr>
        <w:t xml:space="preserve">Scope 3 Coverage:</w:t>
      </w:r>
      <w:r>
        <w:t xml:space="preserve"> </w:t>
      </w:r>
      <w:r>
        <w:t xml:space="preserve">While efforts were made to achieve at least 95% Scope 3 coverage, minor categories not explicitly defined by the parameters (e.g., business travel, employee commuting) were not quantified. The major Scope 3 categories are well-covered.</w:t>
      </w:r>
    </w:p>
    <w:p>
      <w:pPr>
        <w:numPr>
          <w:ilvl w:val="0"/>
          <w:numId w:val="1012"/>
        </w:numPr>
        <w:pStyle w:val="Compact"/>
      </w:pPr>
      <w:r>
        <w:rPr>
          <w:bCs/>
          <w:b/>
        </w:rPr>
        <w:t xml:space="preserve">LSR Standard:</w:t>
      </w:r>
      <w:r>
        <w:t xml:space="preserve"> </w:t>
      </w:r>
      <w:r>
        <w:t xml:space="preserve">The application of the 2026 LSR Standard is acknowledged, and its full implementation would require more detailed data on the biogenic carbon content and land-use impacts of specific materials if they were to contribute significantly.</w:t>
      </w:r>
    </w:p>
    <w:p>
      <w:pPr>
        <w:pStyle w:val="FirstParagraph"/>
      </w:pPr>
      <w:r>
        <w:t xml:space="preserve">Future iterations of this PCF analysis could benefit from collecting more granular, supplier-specific primary data for all stages of the lifecycle to enhance accuracy.</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pnldmeirvy</dc:title>
  <dc:creator/>
  <dc:description>Detailed Product Carbon Footprint (PCF) analysis for pnldmeirvy, performed by Senior Sustainability Consultant wuzknksulg for xgsowfqdtp, adhering to GHG Protocol and 2026 LSR update.</dc:description>
  <dc:language>en</dc:language>
  <cp:keywords/>
  <dcterms:created xsi:type="dcterms:W3CDTF">2026-07-15T18:08:32Z</dcterms:created>
  <dcterms:modified xsi:type="dcterms:W3CDTF">2026-07-15T18:08:32Z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