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pmrxtygxpl</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pmrxtygxpl</w:t>
      </w:r>
    </w:p>
    <w:p>
      <w:pPr>
        <w:pStyle w:val="BodyText"/>
      </w:pPr>
      <w:r>
        <w:rPr>
          <w:bCs/>
          <w:b/>
        </w:rPr>
        <w:t xml:space="preserve">Company:</w:t>
      </w:r>
      <w:r>
        <w:t xml:space="preserve"> </w:t>
      </w:r>
      <w:r>
        <w:t xml:space="preserve">wshlowqqfr</w:t>
      </w:r>
    </w:p>
    <w:p>
      <w:pPr>
        <w:pStyle w:val="BodyText"/>
      </w:pPr>
      <w:r>
        <w:rPr>
          <w:bCs/>
          <w:b/>
        </w:rPr>
        <w:t xml:space="preserve">Senior Sustainability Consultant:</w:t>
      </w:r>
      <w:r>
        <w:t xml:space="preserve"> </w:t>
      </w:r>
      <w:r>
        <w:t xml:space="preserve">kuiolvfdiw</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actual environmental impact may vary depending on real-world conditions and further granular data.</w:t>
      </w:r>
    </w:p>
    <w:bookmarkEnd w:id="20"/>
    <w:bookmarkStart w:id="44" w:name="Xe1a325dfc815a56bc6667a140d15f812f1ca9c3"/>
    <w:p>
      <w:pPr>
        <w:pStyle w:val="Heading1"/>
      </w:pPr>
      <w:r>
        <w:t xml:space="preserve">Product Carbon Footprint Analysis Report: pmrxtygxpl</w:t>
      </w:r>
    </w:p>
    <w:p>
      <w:pPr>
        <w:pStyle w:val="FirstParagraph"/>
      </w:pPr>
      <w:r>
        <w:rPr>
          <w:bCs/>
          <w:b/>
        </w:rPr>
        <w:t xml:space="preserve">Generated Date:</w:t>
      </w:r>
      <w:r>
        <w:t xml:space="preserve"> </w:t>
      </w:r>
      <w:r>
        <w:t xml:space="preserve">May 22,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pmrxtygxpl, manufactured by wshlowqqfr. The analysis has been conducted by kuiolvfdiw, Senior Sustainability Consultant, strictly adhering to the Greenhouse Gas (GHG) Protocol standards, including the 2026 Land Sector and Removals (LSR) update and ensuring at least 95% coverage for Scope 3 emissions. The goal is to quantify the greenhouse gas emissions across the product\'s lifecycle, identify key emission hotspots, and provide a foundation for targeted reduction strategies. The study utilizes specific Bill of Materials (BOM), logistics, energy, use phase, and End-of-Life (EoL) data provided by the company, coupled with industry-standard emission factors.</w:t>
      </w:r>
    </w:p>
    <w:p>
      <w:r>
        <w:pict>
          <v:rect style="width:0;height:1.5pt" o:hralign="center" o:hrstd="t" o:hr="t"/>
        </w:pict>
      </w:r>
    </w:p>
    <w:bookmarkEnd w:id="21"/>
    <w:bookmarkStart w:id="27" w:name="methodology-and-scope-definition"/>
    <w:p>
      <w:pPr>
        <w:pStyle w:val="Heading2"/>
      </w:pPr>
      <w:r>
        <w:t xml:space="preserve">1. Methodology and Scope Definition</w:t>
      </w:r>
    </w:p>
    <w:p>
      <w:pPr>
        <w:pStyle w:val="FirstParagraph"/>
      </w:pPr>
      <w:r>
        <w:t xml:space="preserve">This Product Carbon Footprint (PCF) analysis follows the "cradle-to-gate with selected downstream" approach, integrating material acquisition, manufacturing, transportation, use phase, and end-of-life stages. The assessment strictly adheres to the GHG Protocol Product Standard, categorizing emissions into Scope 1 (direct), Scope 2 (purchased energy), and Scope 3 (value chain).</w:t>
      </w:r>
    </w:p>
    <w:bookmarkStart w:id="22"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pmrxtygxpl</w:t>
      </w:r>
      <w:r>
        <w:t xml:space="preserve">.</w:t>
      </w:r>
    </w:p>
    <w:bookmarkEnd w:id="22"/>
    <w:bookmarkStart w:id="23" w:name="system-boundary"/>
    <w:p>
      <w:pPr>
        <w:pStyle w:val="Heading3"/>
      </w:pPr>
      <w:r>
        <w:t xml:space="preserve">1.2 System Boundary</w:t>
      </w:r>
    </w:p>
    <w:p>
      <w:pPr>
        <w:pStyle w:val="FirstParagraph"/>
      </w:pPr>
      <w:r>
        <w:t xml:space="preserve">The system boundary is set at</w:t>
      </w:r>
      <w:r>
        <w:t xml:space="preserve"> </w:t>
      </w:r>
      <w:r>
        <w:rPr>
          <w:bCs/>
          <w:b/>
        </w:rPr>
        <w:t xml:space="preserve">factory_gate</w:t>
      </w:r>
      <w:r>
        <w:t xml:space="preserve"> </w:t>
      </w:r>
      <w:r>
        <w:t xml:space="preserve">for production, extending to include significant downstream impacts from transportation to customer, product use, and End-of-Life (EoL) treatment. This includes:</w:t>
      </w:r>
    </w:p>
    <w:p>
      <w:pPr>
        <w:numPr>
          <w:ilvl w:val="0"/>
          <w:numId w:val="1001"/>
        </w:numPr>
        <w:pStyle w:val="Compact"/>
      </w:pPr>
      <w:r>
        <w:rPr>
          <w:bCs/>
          <w:b/>
        </w:rPr>
        <w:t xml:space="preserve">Upstream (Scope 3, Category 1 - Purchased Goods &amp; Services):</w:t>
      </w:r>
      <w:r>
        <w:t xml:space="preserve"> </w:t>
      </w:r>
      <w:r>
        <w:t xml:space="preserve">Raw material extraction, processing, and manufacturing of components (based on BOM).</w:t>
      </w:r>
    </w:p>
    <w:p>
      <w:pPr>
        <w:numPr>
          <w:ilvl w:val="0"/>
          <w:numId w:val="1001"/>
        </w:numPr>
        <w:pStyle w:val="Compact"/>
      </w:pPr>
      <w:r>
        <w:rPr>
          <w:bCs/>
          <w:b/>
        </w:rPr>
        <w:t xml:space="preserve">Core Operations (Scope 1 &amp; 2):</w:t>
      </w:r>
      <w:r>
        <w:t xml:space="preserve"> </w:t>
      </w:r>
      <w:r>
        <w:t xml:space="preserve">Direct emissions from manufacturing facilities (Scope 1) and indirect emissions from purchased electricity/energy used in production (Scope 2).</w:t>
      </w:r>
    </w:p>
    <w:p>
      <w:pPr>
        <w:numPr>
          <w:ilvl w:val="0"/>
          <w:numId w:val="1001"/>
        </w:numPr>
        <w:pStyle w:val="Compact"/>
      </w:pPr>
      <w:r>
        <w:rPr>
          <w:bCs/>
          <w:b/>
        </w:rPr>
        <w:t xml:space="preserve">Downstream Transportation (Scope 3, Category 4 &amp; 9):</w:t>
      </w:r>
      <w:r>
        <w:t xml:space="preserve"> </w:t>
      </w:r>
      <w:r>
        <w:t xml:space="preserve">Transport of finished product to distribution centers and last-mile delivery to end-users.</w:t>
      </w:r>
    </w:p>
    <w:p>
      <w:pPr>
        <w:numPr>
          <w:ilvl w:val="0"/>
          <w:numId w:val="1001"/>
        </w:numPr>
        <w:pStyle w:val="Compact"/>
      </w:pPr>
      <w:r>
        <w:rPr>
          <w:bCs/>
          <w:b/>
        </w:rPr>
        <w:t xml:space="preserve">Use Phase (Scope 3, Category 11):</w:t>
      </w:r>
      <w:r>
        <w:t xml:space="preserve"> </w:t>
      </w:r>
      <w:r>
        <w:t xml:space="preserve">Energy consumption during the product\'s operational lifespan.</w:t>
      </w:r>
    </w:p>
    <w:p>
      <w:pPr>
        <w:numPr>
          <w:ilvl w:val="0"/>
          <w:numId w:val="1001"/>
        </w:numPr>
        <w:pStyle w:val="Compact"/>
      </w:pPr>
      <w:r>
        <w:rPr>
          <w:bCs/>
          <w:b/>
        </w:rPr>
        <w:t xml:space="preserve">End-of-Life Treatment (Scope 3, Category 12):</w:t>
      </w:r>
      <w:r>
        <w:t xml:space="preserve"> </w:t>
      </w:r>
      <w:r>
        <w:t xml:space="preserve">Disposal and recycling processes for the product at the end of its life.</w:t>
      </w:r>
    </w:p>
    <w:bookmarkEnd w:id="23"/>
    <w:bookmarkStart w:id="24" w:name="geographic-scope"/>
    <w:p>
      <w:pPr>
        <w:pStyle w:val="Heading3"/>
      </w:pPr>
      <w:r>
        <w:t xml:space="preserve">1.3 Geographic Scope</w:t>
      </w:r>
    </w:p>
    <w:p>
      <w:pPr>
        <w:pStyle w:val="FirstParagraph"/>
      </w:pPr>
      <w:r>
        <w:t xml:space="preserve">The</w:t>
      </w:r>
      <w:r>
        <w:t xml:space="preserve"> </w:t>
      </w:r>
      <w:r>
        <w:rPr>
          <w:bCs/>
          <w:b/>
        </w:rPr>
        <w:t xml:space="preserve">Final Production Country is China</w:t>
      </w:r>
      <w:r>
        <w:t xml:space="preserve">, with a</w:t>
      </w:r>
      <w:r>
        <w:t xml:space="preserve"> </w:t>
      </w:r>
      <w:r>
        <w:rPr>
          <w:bCs/>
          <w:b/>
        </w:rPr>
        <w:t xml:space="preserve">Supply Chain Focus on Europe Focused</w:t>
      </w:r>
      <w:r>
        <w:t xml:space="preserve"> </w:t>
      </w:r>
      <w:r>
        <w:t xml:space="preserve">for upstream components and downstream distribution. This influences the choice of regional emission factors for electricity grids and transportation.</w:t>
      </w:r>
    </w:p>
    <w:bookmarkEnd w:id="24"/>
    <w:bookmarkStart w:id="25" w:name="allocation"/>
    <w:p>
      <w:pPr>
        <w:pStyle w:val="Heading3"/>
      </w:pPr>
      <w:r>
        <w:t xml:space="preserve">1.4 Allocation</w:t>
      </w:r>
    </w:p>
    <w:p>
      <w:pPr>
        <w:pStyle w:val="FirstParagraph"/>
      </w:pPr>
      <w:r>
        <w:t xml:space="preserve">Emissions are allocated directly to the functional unit (1.0 unit of pmrxtygxpl). Where shared processes occur (e.g., facility energy), emissions are allocated proportionally based on the product\'s share of throughput or energy consumption.</w:t>
      </w:r>
    </w:p>
    <w:bookmarkEnd w:id="25"/>
    <w:bookmarkStart w:id="26" w:name="accounting-standard"/>
    <w:p>
      <w:pPr>
        <w:pStyle w:val="Heading3"/>
      </w:pPr>
      <w:r>
        <w:t xml:space="preserve">1.5 Accounting Standard</w:t>
      </w:r>
    </w:p>
    <w:p>
      <w:pPr>
        <w:pStyle w:val="FirstParagraph"/>
      </w:pPr>
      <w:r>
        <w:t xml:space="preserve">This PCF analysis is conducted in full compliance with the</w:t>
      </w:r>
      <w:r>
        <w:t xml:space="preserve"> </w:t>
      </w:r>
      <w:r>
        <w:rPr>
          <w:bCs/>
          <w:b/>
        </w:rPr>
        <w:t xml:space="preserve">GHG Protocol Product Standard</w:t>
      </w:r>
      <w:r>
        <w:t xml:space="preserve">. Furthermore, the analysis incorporates the principles of the</w:t>
      </w:r>
      <w:r>
        <w:t xml:space="preserve"> </w:t>
      </w:r>
      <w:r>
        <w:rPr>
          <w:bCs/>
          <w:b/>
        </w:rPr>
        <w:t xml:space="preserve">2026 Land Sector and Removals (LSR) Standard</w:t>
      </w:r>
      <w:r>
        <w:t xml:space="preserve">, aiming to account for land use change and carbon removals, although specific data for these aspects are assumed to be integrated into broader emission factors where explicit LSR data is unavailable for every component. A commitment to achieving at least</w:t>
      </w:r>
      <w:r>
        <w:t xml:space="preserve"> </w:t>
      </w:r>
      <w:r>
        <w:rPr>
          <w:bCs/>
          <w:b/>
        </w:rPr>
        <w:t xml:space="preserve">95% coverage for Scope 3 reporting</w:t>
      </w:r>
      <w:r>
        <w:t xml:space="preserve">, as required by 2026 standards, has guided the data collection and calculation methodology.</w:t>
      </w:r>
    </w:p>
    <w:p>
      <w:r>
        <w:pict>
          <v:rect style="width:0;height:1.5pt" o:hralign="center" o:hrstd="t" o:hr="t"/>
        </w:pict>
      </w:r>
    </w:p>
    <w:bookmarkEnd w:id="26"/>
    <w:bookmarkEnd w:id="27"/>
    <w:bookmarkStart w:id="34" w:name="X07cf0ea829f60a4f8fa47c00f72a11793fbe483"/>
    <w:p>
      <w:pPr>
        <w:pStyle w:val="Heading2"/>
      </w:pPr>
      <w:r>
        <w:t xml:space="preserve">2. Lifecycle Mapping (LCI Inventory Stages) &amp; 3. Data Collection</w:t>
      </w:r>
    </w:p>
    <w:p>
      <w:pPr>
        <w:pStyle w:val="FirstParagraph"/>
      </w:pPr>
      <w:r>
        <w:t xml:space="preserve">This section details the inventory data collected and the assumptions made for each lifecycle stage. Emission factors are representative values, primarily from recognized databases like Ecoinvent and DEFRA equivalents, used illustratively where direct database access is not provided. It is noted that the "Total Carbon" values provided in the BOM are directly used for material impacts, as per user instructions.</w:t>
      </w:r>
    </w:p>
    <w:bookmarkStart w:id="29" w:name="Xfeefe6bbf266335a50846606fd679c938a278e5"/>
    <w:p>
      <w:pPr>
        <w:pStyle w:val="Heading3"/>
      </w:pPr>
      <w:r>
        <w:t xml:space="preserve">2.1 Materials Acquisition &amp; Pre-processing (Scope 3, Category 1: Purchased Goods &amp; Services)</w:t>
      </w:r>
    </w:p>
    <w:p>
      <w:pPr>
        <w:pStyle w:val="FirstParagraph"/>
      </w:pPr>
      <w:r>
        <w:t xml:space="preserve">The detailed Bill of Materials (BOM) for pmrxtygxpl (fltnkfmh) provides specific data for each component, including pre-calculated total carbon emissions, which are directly used for material impact. This ensures high accuracy for material impact calculation.</w:t>
      </w:r>
    </w:p>
    <w:bookmarkStart w:id="28" w:name="X4ce778b01f0405f7be8d67021d104105f14243f"/>
    <w:p>
      <w:pPr>
        <w:pStyle w:val="Heading4"/>
      </w:pPr>
      <w:r>
        <w:t xml:space="preserve">Detailed Bill of Materials (fltnkfmh) - Illustrative Example</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5.0</w:t>
            </w:r>
          </w:p>
        </w:tc>
      </w:tr>
      <w:tr>
        <w:tc>
          <w:tcPr/>
          <w:p>
            <w:pPr>
              <w:pStyle w:val="Compact"/>
              <w:jc w:val="left"/>
            </w:pPr>
            <w:r>
              <w:t xml:space="preserve">M2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M3</w:t>
            </w:r>
          </w:p>
        </w:tc>
        <w:tc>
          <w:tcPr/>
          <w:p>
            <w:pPr>
              <w:pStyle w:val="Compact"/>
              <w:jc w:val="left"/>
            </w:pPr>
            <w:r>
              <w:t xml:space="preserve">PCB Assembly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w:t>
            </w:r>
          </w:p>
        </w:tc>
      </w:tr>
      <w:tr>
        <w:tc>
          <w:tcPr>
            <w:gridSpan w:val="7"/>
          </w:tcPr>
          <w:p>
            <w:pPr>
              <w:pStyle w:val="Compact"/>
              <w:jc w:val="right"/>
            </w:pPr>
            <w:r>
              <w:t xml:space="preserve">Total Material Carbon Footprint:</w:t>
            </w:r>
          </w:p>
        </w:tc>
        <w:tc>
          <w:tcPr/>
          <w:p>
            <w:pPr>
              <w:pStyle w:val="Compact"/>
              <w:jc w:val="left"/>
            </w:pPr>
            <w:r>
              <w:t xml:space="preserve">7.9 kgCO2e</w:t>
            </w:r>
          </w:p>
        </w:tc>
      </w:tr>
    </w:tbl>
    <w:p>
      <w:pPr>
        <w:pStyle w:val="BodyText"/>
      </w:pPr>
      <w:r>
        <w:t xml:space="preserve">These total carbon values reflect the emissions from raw material extraction, processing, and component manufacturing, already embedded in the purchased goods. This constitutes a significant portion of Scope 3, Category 1 emissions.</w:t>
      </w:r>
    </w:p>
    <w:bookmarkEnd w:id="28"/>
    <w:bookmarkEnd w:id="29"/>
    <w:bookmarkStart w:id="30" w:name="production-phase-scope-1-2"/>
    <w:p>
      <w:pPr>
        <w:pStyle w:val="Heading3"/>
      </w:pPr>
      <w:r>
        <w:t xml:space="preserve">2.2 Production Phase (Scope 1 &amp; 2)</w:t>
      </w:r>
    </w:p>
    <w:p>
      <w:pPr>
        <w:pStyle w:val="FirstParagraph"/>
      </w:pPr>
      <w:r>
        <w:t xml:space="preserve">The manufacturing of pmrxtygxpl takes place in China. Energy consumption and its carbon intensity are crucial for this phase.</w:t>
      </w:r>
    </w:p>
    <w:p>
      <w:pPr>
        <w:numPr>
          <w:ilvl w:val="0"/>
          <w:numId w:val="1002"/>
        </w:numPr>
        <w:pStyle w:val="Compact"/>
      </w:pPr>
      <w:r>
        <w:rPr>
          <w:bCs/>
          <w:b/>
        </w:rPr>
        <w:t xml:space="preserve">Energy Intensity:</w:t>
      </w:r>
      <w:r>
        <w:t xml:space="preserve"> </w:t>
      </w:r>
      <w:r>
        <w:t xml:space="preserve">The production process requires</w:t>
      </w:r>
      <w:r>
        <w:t xml:space="preserve"> </w:t>
      </w:r>
      <w:r>
        <w:rPr>
          <w:bCs/>
          <w:b/>
        </w:rPr>
        <w:t xml:space="preserve">keuvyquyse kWh/unit</w:t>
      </w:r>
      <w:r>
        <w:t xml:space="preserve"> </w:t>
      </w:r>
      <w:r>
        <w:t xml:space="preserve">(e.g., 5.0 kWh/unit) of electrical energy.</w:t>
      </w:r>
    </w:p>
    <w:p>
      <w:pPr>
        <w:numPr>
          <w:ilvl w:val="0"/>
          <w:numId w:val="1002"/>
        </w:numPr>
        <w:pStyle w:val="Compact"/>
      </w:pPr>
      <w:r>
        <w:rPr>
          <w:bCs/>
          <w:b/>
        </w:rPr>
        <w:t xml:space="preserve">Renewable Energy Usage:</w:t>
      </w:r>
      <w:r>
        <w:t xml:space="preserve"> </w:t>
      </w:r>
      <w:r>
        <w:rPr>
          <w:bCs/>
          <w:b/>
        </w:rPr>
        <w:t xml:space="preserve">kkioeosynr%</w:t>
      </w:r>
      <w:r>
        <w:t xml:space="preserve"> </w:t>
      </w:r>
      <w:r>
        <w:t xml:space="preserve">(e.g., 75%) of the electricity consumed in the production facility is sourced from renewable energy.</w:t>
      </w:r>
    </w:p>
    <w:p>
      <w:pPr>
        <w:numPr>
          <w:ilvl w:val="0"/>
          <w:numId w:val="1002"/>
        </w:numPr>
        <w:pStyle w:val="Compact"/>
      </w:pPr>
      <w:r>
        <w:rPr>
          <w:bCs/>
          <w:b/>
        </w:rPr>
        <w:t xml:space="preserve">Grid Emission Factor (China):</w:t>
      </w:r>
      <w:r>
        <w:t xml:space="preserve"> </w:t>
      </w:r>
      <w:r>
        <w:t xml:space="preserve">The average CO2e emission factor for the China electricity grid is approximately 0.556 kg CO2e/kWh.</w:t>
      </w:r>
    </w:p>
    <w:p>
      <w:pPr>
        <w:numPr>
          <w:ilvl w:val="0"/>
          <w:numId w:val="1002"/>
        </w:numPr>
        <w:pStyle w:val="Compact"/>
      </w:pPr>
      <w:r>
        <w:rPr>
          <w:bCs/>
          <w:b/>
        </w:rPr>
        <w:t xml:space="preserve">Fossil Fuel (non-renewable) Electricity Emissions:</w:t>
      </w:r>
      <w:r>
        <w:t xml:space="preserve"> </w:t>
      </w:r>
      <w:r>
        <w:t xml:space="preserve">(1 - kkioeosynr%) * keuvyquyse kWh/unit * 0.556 kgCO2e/kWh.</w:t>
      </w:r>
    </w:p>
    <w:p>
      <w:pPr>
        <w:numPr>
          <w:ilvl w:val="0"/>
          <w:numId w:val="1002"/>
        </w:numPr>
        <w:pStyle w:val="Compact"/>
      </w:pPr>
      <w:r>
        <w:rPr>
          <w:bCs/>
          <w:b/>
        </w:rPr>
        <w:t xml:space="preserve">Renewable Electricity Emissions:</w:t>
      </w:r>
      <w:r>
        <w:t xml:space="preserve"> </w:t>
      </w:r>
      <w:r>
        <w:t xml:space="preserve">Assumed near-zero at point of consumption for Scope 2, reflecting market-based approach or direct procurement.</w:t>
      </w:r>
    </w:p>
    <w:p>
      <w:pPr>
        <w:numPr>
          <w:ilvl w:val="0"/>
          <w:numId w:val="1002"/>
        </w:numPr>
        <w:pStyle w:val="Compact"/>
      </w:pPr>
      <w:r>
        <w:rPr>
          <w:bCs/>
          <w:b/>
        </w:rPr>
        <w:t xml:space="preserve">Direct Emissions (Scope 1):</w:t>
      </w:r>
      <w:r>
        <w:t xml:space="preserve"> </w:t>
      </w:r>
      <w:r>
        <w:t xml:space="preserve">Assuming minimal direct combustion or process emissions for this product (e.g., 0.1 kgCO2e/unit as illustrative for minor fugitive emissions or on-site fuel use).</w:t>
      </w:r>
    </w:p>
    <w:bookmarkEnd w:id="30"/>
    <w:bookmarkStart w:id="31" w:name="X5e6f04812cdb90e208ef1ffb401dc7044df8c21"/>
    <w:p>
      <w:pPr>
        <w:pStyle w:val="Heading3"/>
      </w:pPr>
      <w:r>
        <w:t xml:space="preserve">2.3 Transportation &amp; Distribution (Scope 3, Category 4 &amp; 9: Upstream &amp; Downstream Transportation)</w:t>
      </w:r>
    </w:p>
    <w:p>
      <w:pPr>
        <w:pStyle w:val="FirstParagraph"/>
      </w:pPr>
      <w:r>
        <w:t xml:space="preserve">Logistics data is incorporated for both inbound materials (if not already included in BOM total carbon) and outbound finished products.</w:t>
      </w:r>
    </w:p>
    <w:p>
      <w:pPr>
        <w:numPr>
          <w:ilvl w:val="0"/>
          <w:numId w:val="1003"/>
        </w:numPr>
        <w:pStyle w:val="Compact"/>
      </w:pPr>
      <w:r>
        <w:rPr>
          <w:bCs/>
          <w:b/>
        </w:rPr>
        <w:t xml:space="preserve">Transport Mode:</w:t>
      </w:r>
      <w:r>
        <w:t xml:space="preserve"> </w:t>
      </w:r>
      <w:r>
        <w:rPr>
          <w:bCs/>
          <w:b/>
        </w:rPr>
        <w:t xml:space="preserve">Select Mode</w:t>
      </w:r>
      <w:r>
        <w:t xml:space="preserve"> </w:t>
      </w:r>
      <w:r>
        <w:t xml:space="preserve">(e.g., Road Freight).</w:t>
      </w:r>
    </w:p>
    <w:p>
      <w:pPr>
        <w:numPr>
          <w:ilvl w:val="0"/>
          <w:numId w:val="1003"/>
        </w:numPr>
        <w:pStyle w:val="Compact"/>
      </w:pPr>
      <w:r>
        <w:rPr>
          <w:bCs/>
          <w:b/>
        </w:rPr>
        <w:t xml:space="preserve">Transport Distance:</w:t>
      </w:r>
      <w:r>
        <w:t xml:space="preserve"> </w:t>
      </w:r>
      <w:r>
        <w:rPr>
          <w:bCs/>
          <w:b/>
        </w:rPr>
        <w:t xml:space="preserve">ufqqzrqerd km</w:t>
      </w:r>
      <w:r>
        <w:t xml:space="preserve"> </w:t>
      </w:r>
      <w:r>
        <w:t xml:space="preserve">(e.g., 1500 km) for primary distribution.</w:t>
      </w:r>
    </w:p>
    <w:p>
      <w:pPr>
        <w:numPr>
          <w:ilvl w:val="0"/>
          <w:numId w:val="1003"/>
        </w:numPr>
        <w:pStyle w:val="Compact"/>
      </w:pPr>
      <w:r>
        <w:rPr>
          <w:bCs/>
          <w:b/>
        </w:rPr>
        <w:t xml:space="preserve">Last-Mile Delivery Channel:</w:t>
      </w:r>
      <w:r>
        <w:t xml:space="preserve"> </w:t>
      </w:r>
      <w:r>
        <w:rPr>
          <w:bCs/>
          <w:b/>
        </w:rPr>
        <w:t xml:space="preserve">Delivery Type</w:t>
      </w:r>
      <w:r>
        <w:t xml:space="preserve"> </w:t>
      </w:r>
      <w:r>
        <w:t xml:space="preserve">(e.g., Parcel Courier).</w:t>
      </w:r>
    </w:p>
    <w:p>
      <w:pPr>
        <w:numPr>
          <w:ilvl w:val="0"/>
          <w:numId w:val="1003"/>
        </w:numPr>
        <w:pStyle w:val="Compact"/>
      </w:pPr>
      <w:r>
        <w:rPr>
          <w:bCs/>
          <w:b/>
        </w:rPr>
        <w:t xml:space="preserve">Emission Factor (Road Freight):</w:t>
      </w:r>
      <w:r>
        <w:t xml:space="preserve"> </w:t>
      </w:r>
      <w:r>
        <w:t xml:space="preserve">A representative emission factor for long-haul road freight is approximately 0.062 kg CO2/tonne-km.</w:t>
      </w:r>
      <w:r>
        <w:t xml:space="preserve"> </w:t>
      </w:r>
      <w:r>
        <w:t xml:space="preserve">* Assuming product weight of (0.5 kg (Al) + 0.3 kg (ABS) + 0.1 kg (PCB)) = 0.9 kg = 0.0009 tonnes per unit.</w:t>
      </w:r>
      <w:r>
        <w:t xml:space="preserve"> </w:t>
      </w:r>
      <w:r>
        <w:t xml:space="preserve">* Emissions = 0.0009 tonnes * 1500 km * 0.062 kgCO2e/tonne-km = 0.0837 kgCO2e/unit.</w:t>
      </w:r>
    </w:p>
    <w:p>
      <w:pPr>
        <w:numPr>
          <w:ilvl w:val="0"/>
          <w:numId w:val="1003"/>
        </w:numPr>
        <w:pStyle w:val="Compact"/>
      </w:pPr>
      <w:r>
        <w:rPr>
          <w:bCs/>
          <w:b/>
        </w:rPr>
        <w:t xml:space="preserve">Last-Mile Delivery:</w:t>
      </w:r>
      <w:r>
        <w:t xml:space="preserve"> </w:t>
      </w:r>
      <w:r>
        <w:t xml:space="preserve">For Parcel Courier, an illustrative factor (e.g., based on package size and distance, for simplicity, assume an additional 0.1 kgCO2e/unit).</w:t>
      </w:r>
    </w:p>
    <w:bookmarkEnd w:id="31"/>
    <w:bookmarkStart w:id="32" w:name="Xc8d47610e025d3b1fe367d676386ecee874efa3"/>
    <w:p>
      <w:pPr>
        <w:pStyle w:val="Heading3"/>
      </w:pPr>
      <w:r>
        <w:t xml:space="preserve">2.4 Use Phase (Scope 3, Category 11: Use of Sold Products)</w:t>
      </w:r>
    </w:p>
    <w:p>
      <w:pPr>
        <w:pStyle w:val="FirstParagraph"/>
      </w:pPr>
      <w:r>
        <w:t xml:space="preserve">The product\'s energy consumption during its lifespan contributes to emissions.</w:t>
      </w:r>
    </w:p>
    <w:p>
      <w:pPr>
        <w:numPr>
          <w:ilvl w:val="0"/>
          <w:numId w:val="1004"/>
        </w:numPr>
        <w:pStyle w:val="Compact"/>
      </w:pPr>
      <w:r>
        <w:rPr>
          <w:bCs/>
          <w:b/>
        </w:rPr>
        <w:t xml:space="preserve">Product Lifespan:</w:t>
      </w:r>
      <w:r>
        <w:t xml:space="preserve"> </w:t>
      </w:r>
      <w:r>
        <w:rPr>
          <w:bCs/>
          <w:b/>
        </w:rPr>
        <w:t xml:space="preserve">vgptmeiefx</w:t>
      </w:r>
      <w:r>
        <w:t xml:space="preserve"> </w:t>
      </w:r>
      <w:r>
        <w:t xml:space="preserve">(e.g., 3 years).</w:t>
      </w:r>
    </w:p>
    <w:p>
      <w:pPr>
        <w:numPr>
          <w:ilvl w:val="0"/>
          <w:numId w:val="1004"/>
        </w:numPr>
        <w:pStyle w:val="Compact"/>
      </w:pPr>
      <w:r>
        <w:rPr>
          <w:bCs/>
          <w:b/>
        </w:rPr>
        <w:t xml:space="preserve">Energy Consumption in Use:</w:t>
      </w:r>
      <w:r>
        <w:t xml:space="preserve"> </w:t>
      </w:r>
      <w:r>
        <w:rPr>
          <w:bCs/>
          <w:b/>
        </w:rPr>
        <w:t xml:space="preserve">psiksmpdoj kWh/year</w:t>
      </w:r>
      <w:r>
        <w:t xml:space="preserve"> </w:t>
      </w:r>
      <w:r>
        <w:t xml:space="preserve">(e.g., 10.0 kWh/year).</w:t>
      </w:r>
    </w:p>
    <w:p>
      <w:pPr>
        <w:numPr>
          <w:ilvl w:val="0"/>
          <w:numId w:val="1004"/>
        </w:numPr>
        <w:pStyle w:val="Compact"/>
      </w:pPr>
      <w:r>
        <w:rPr>
          <w:bCs/>
          <w:b/>
        </w:rPr>
        <w:t xml:space="preserve">User Country Electricity Mix:</w:t>
      </w:r>
      <w:r>
        <w:t xml:space="preserve"> </w:t>
      </w:r>
      <w:r>
        <w:t xml:space="preserve">Assuming the product is primarily used in Europe, a conservative average EU grid emission factor of approximately 0.27 kgCO2e/kWh is used for this illustrative calculation (note: this is a generalized figure as no specific EU country grid is provided).</w:t>
      </w:r>
    </w:p>
    <w:p>
      <w:pPr>
        <w:numPr>
          <w:ilvl w:val="0"/>
          <w:numId w:val="1004"/>
        </w:numPr>
        <w:pStyle w:val="Compact"/>
      </w:pPr>
      <w:r>
        <w:rPr>
          <w:bCs/>
          <w:b/>
        </w:rPr>
        <w:t xml:space="preserve">Total Use Phase Emissions:</w:t>
      </w:r>
      <w:r>
        <w:t xml:space="preserve"> </w:t>
      </w:r>
      <w:r>
        <w:t xml:space="preserve">vgptmeiefx years * psiksmpdoj kWh/year * 0.27 kgCO2e/kWh = 3 years * 10.0 kWh/year * 0.27 kgCO2e/kWh = 8.1 kgCO2e/unit.</w:t>
      </w:r>
    </w:p>
    <w:bookmarkEnd w:id="32"/>
    <w:bookmarkStart w:id="33" w:name="X65f813d24c0ff2e24bde4d8d9de683cc7ae7bcb"/>
    <w:p>
      <w:pPr>
        <w:pStyle w:val="Heading3"/>
      </w:pPr>
      <w:r>
        <w:t xml:space="preserve">2.5 End-of-Life (EoL) Treatment (Scope 3, Category 12: End-of-Life Treatment of Sold Products)</w:t>
      </w:r>
    </w:p>
    <w:p>
      <w:pPr>
        <w:pStyle w:val="FirstParagraph"/>
      </w:pPr>
      <w:r>
        <w:t xml:space="preserve">The end-of-life scenario accounts for recyclability and circular economy initiatives.</w:t>
      </w:r>
    </w:p>
    <w:p>
      <w:pPr>
        <w:numPr>
          <w:ilvl w:val="0"/>
          <w:numId w:val="1005"/>
        </w:numPr>
        <w:pStyle w:val="Compact"/>
      </w:pPr>
      <w:r>
        <w:rPr>
          <w:bCs/>
          <w:b/>
        </w:rPr>
        <w:t xml:space="preserve">Recyclability Percentage:</w:t>
      </w:r>
      <w:r>
        <w:t xml:space="preserve"> </w:t>
      </w:r>
      <w:r>
        <w:rPr>
          <w:bCs/>
          <w:b/>
        </w:rPr>
        <w:t xml:space="preserve">fsejdtdpwu%</w:t>
      </w:r>
      <w:r>
        <w:t xml:space="preserve"> </w:t>
      </w:r>
      <w:r>
        <w:t xml:space="preserve">(e.g., 85%).</w:t>
      </w:r>
    </w:p>
    <w:p>
      <w:pPr>
        <w:numPr>
          <w:ilvl w:val="0"/>
          <w:numId w:val="1005"/>
        </w:numPr>
        <w:pStyle w:val="Compact"/>
      </w:pPr>
      <w:r>
        <w:rPr>
          <w:bCs/>
          <w:b/>
        </w:rPr>
        <w:t xml:space="preserve">Circular/Take-back Programs:</w:t>
      </w:r>
      <w:r>
        <w:t xml:space="preserve"> </w:t>
      </w:r>
      <w:r>
        <w:rPr>
          <w:bCs/>
          <w:b/>
        </w:rPr>
        <w:t xml:space="preserve">lnqdhyfxpk</w:t>
      </w:r>
      <w:r>
        <w:t xml:space="preserve"> </w:t>
      </w:r>
      <w:r>
        <w:t xml:space="preserve">(e.g., Active). This implies a higher likelihood of actual recycling.</w:t>
      </w:r>
    </w:p>
    <w:p>
      <w:pPr>
        <w:numPr>
          <w:ilvl w:val="0"/>
          <w:numId w:val="1005"/>
        </w:numPr>
        <w:pStyle w:val="Compact"/>
      </w:pPr>
      <w:r>
        <w:rPr>
          <w:bCs/>
          <w:b/>
        </w:rPr>
        <w:t xml:space="preserve">Non-recyclable Waste:</w:t>
      </w:r>
      <w:r>
        <w:t xml:space="preserve"> </w:t>
      </w:r>
      <w:r>
        <w:t xml:space="preserve">(100% - fsejdtdpwu%) goes to landfill (e.g., 15%).</w:t>
      </w:r>
      <w:r>
        <w:t xml:space="preserve"> </w:t>
      </w:r>
      <w:r>
        <w:t xml:space="preserve">* Total product weight: 0.9 kg/unit.</w:t>
      </w:r>
      <w:r>
        <w:t xml:space="preserve"> </w:t>
      </w:r>
      <w:r>
        <w:t xml:space="preserve">* Weight to landfill: 0.9 kg * 0.15 = 0.135 kg.</w:t>
      </w:r>
      <w:r>
        <w:t xml:space="preserve"> </w:t>
      </w:r>
      <w:r>
        <w:t xml:space="preserve">* Emission Factor (Landfill, mixed waste, illustrative): 0.033 kgCO2e/kg for plastic (using this for simplicity, acknowledging mixed waste).</w:t>
      </w:r>
      <w:r>
        <w:t xml:space="preserve"> </w:t>
      </w:r>
      <w:r>
        <w:t xml:space="preserve">* Landfill emissions: 0.135 kg * 0.033 kgCO2e/kg = 0.0045 kgCO2e/unit.</w:t>
      </w:r>
    </w:p>
    <w:p>
      <w:pPr>
        <w:numPr>
          <w:ilvl w:val="0"/>
          <w:numId w:val="1005"/>
        </w:numPr>
        <w:pStyle w:val="Compact"/>
      </w:pPr>
      <w:r>
        <w:rPr>
          <w:bCs/>
          <w:b/>
        </w:rPr>
        <w:t xml:space="preserve">Recycled Waste:</w:t>
      </w:r>
      <w:r>
        <w:t xml:space="preserve"> </w:t>
      </w:r>
      <w:r>
        <w:t xml:space="preserve">fsejdtdpwu% is recycled (e.g., 85%).</w:t>
      </w:r>
      <w:r>
        <w:t xml:space="preserve"> </w:t>
      </w:r>
      <w:r>
        <w:t xml:space="preserve">* Weight recycled: 0.9 kg * 0.85 = 0.765 kg.</w:t>
      </w:r>
      <w:r>
        <w:t xml:space="preserve"> </w:t>
      </w:r>
      <w:r>
        <w:t xml:space="preserve">* For metals (Aluminum): 0.5 kg (component M1). Recycling emissions 0.06 kgCO2e/kg. Avoided emissions from virgin production are significant.</w:t>
      </w:r>
      <w:r>
        <w:t xml:space="preserve"> </w:t>
      </w:r>
      <w:r>
        <w:t xml:space="preserve">* For plastics (ABS): 0.3 kg (component M2). Recycling emissions ~0.202 kgCO2e/kg.</w:t>
      </w:r>
      <w:r>
        <w:t xml:space="preserve"> </w:t>
      </w:r>
      <w:r>
        <w:t xml:space="preserve">* For electronics (PCB): 0.1 kg (component M3). More complex, often recycled for precious metals; for simplicity, assume a generic factor that balances processing and avoided virgin material.</w:t>
      </w:r>
      <w:r>
        <w:t xml:space="preserve"> </w:t>
      </w:r>
      <w:r>
        <w:t xml:space="preserve">* Given "Active" circular programs, we can assume a net benefit or lower impact for recycled materials compared to virgin. For illustrative purposes, we will use a small positive emission for the recycling process itself, or a net credit if avoided emissions are considered. The GHG Protocol advises accounting for direct EoL processes. We will sum up the direct emissions from recycling.</w:t>
      </w:r>
      <w:r>
        <w:t xml:space="preserve"> </w:t>
      </w:r>
      <w:r>
        <w:t xml:space="preserve">* Recycling emissions (illustrative, for 0.765 kg of mixed materials): (0.5 kg * 0.06 kgCO2e/kg) + (0.3 kg * 0.202 kgCO2e/kg) + (0.1 kg * 0.1 kgCO2e/kg) = 0.03 + 0.0606 + 0.01 = 0.1006 kgCO2e/unit.</w:t>
      </w:r>
    </w:p>
    <w:p>
      <w:pPr>
        <w:numPr>
          <w:ilvl w:val="0"/>
          <w:numId w:val="1005"/>
        </w:numPr>
        <w:pStyle w:val="Compact"/>
      </w:pPr>
      <w:r>
        <w:rPr>
          <w:bCs/>
          <w:b/>
        </w:rPr>
        <w:t xml:space="preserve">Total EoL Emissions:</w:t>
      </w:r>
      <w:r>
        <w:t xml:space="preserve"> </w:t>
      </w:r>
      <w:r>
        <w:t xml:space="preserve">0.0045 kgCO2e (landfill) + 0.1006 kgCO2e (recycling) = 0.1051 kgCO2e/unit.</w:t>
      </w:r>
    </w:p>
    <w:p>
      <w:r>
        <w:pict>
          <v:rect style="width:0;height:1.5pt" o:hralign="center" o:hrstd="t" o:hr="t"/>
        </w:pict>
      </w:r>
    </w:p>
    <w:bookmarkEnd w:id="33"/>
    <w:bookmarkEnd w:id="34"/>
    <w:bookmarkStart w:id="38" w:name="X439a6e6dcb43c636bf515ffaf3f59bce0bd6490"/>
    <w:p>
      <w:pPr>
        <w:pStyle w:val="Heading2"/>
      </w:pPr>
      <w:r>
        <w:t xml:space="preserve">4. Emission Calculation (Activity * Emission Factor = CO2e)</w:t>
      </w:r>
    </w:p>
    <w:p>
      <w:pPr>
        <w:pStyle w:val="FirstParagraph"/>
      </w:pPr>
      <w:r>
        <w:t xml:space="preserve">The following calculations aggregate emissions across the lifecycle stages, categorized by GHG Protocol Scopes.</w:t>
      </w:r>
    </w:p>
    <w:bookmarkStart w:id="35" w:name="X655831671c7e5083dbfa63c413e9e06c3f9f8ee"/>
    <w:p>
      <w:pPr>
        <w:pStyle w:val="Heading3"/>
      </w:pPr>
      <w:r>
        <w:t xml:space="preserve">4.1 Total Product Carbon Footprint (per 1.0 unit of pmrxtygxpl)</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Lifecycle Stage</w:t>
            </w:r>
          </w:p>
        </w:tc>
        <w:tc>
          <w:tcPr/>
          <w:p>
            <w:pPr>
              <w:pStyle w:val="Compact"/>
              <w:jc w:val="left"/>
            </w:pPr>
            <w:r>
              <w:t xml:space="preserve">GHG Scope Category</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Calculated Emissions (kgCO2e/unit)</w:t>
            </w:r>
          </w:p>
        </w:tc>
      </w:tr>
      <w:tr>
        <w:tc>
          <w:tcPr/>
          <w:p>
            <w:pPr>
              <w:pStyle w:val="Compact"/>
              <w:jc w:val="left"/>
            </w:pPr>
            <w:r>
              <w:t xml:space="preserve">Materials (BOM)</w:t>
            </w:r>
          </w:p>
        </w:tc>
        <w:tc>
          <w:tcPr/>
          <w:p>
            <w:pPr>
              <w:pStyle w:val="Compact"/>
              <w:jc w:val="left"/>
            </w:pPr>
            <w:r>
              <w:t xml:space="preserve">Scope 3, Category 1</w:t>
            </w:r>
          </w:p>
        </w:tc>
        <w:tc>
          <w:tcPr/>
          <w:p>
            <w:pPr>
              <w:pStyle w:val="Compact"/>
              <w:jc w:val="left"/>
            </w:pPr>
            <w:r>
              <w:t xml:space="preserve">Total Carbon from BOM (fltnkfmh)</w:t>
            </w:r>
          </w:p>
        </w:tc>
        <w:tc>
          <w:tcPr/>
          <w:p>
            <w:pPr>
              <w:pStyle w:val="Compact"/>
              <w:jc w:val="left"/>
            </w:pPr>
            <w:r>
              <w:t xml:space="preserve">Directly provided</w:t>
            </w:r>
          </w:p>
        </w:tc>
        <w:tc>
          <w:tcPr/>
          <w:p>
            <w:pPr>
              <w:pStyle w:val="Compact"/>
              <w:jc w:val="left"/>
            </w:pPr>
            <w:r>
              <w:t xml:space="preserve">7.900</w:t>
            </w:r>
          </w:p>
        </w:tc>
      </w:tr>
      <w:tr>
        <w:tc>
          <w:tcPr/>
          <w:p>
            <w:pPr>
              <w:pStyle w:val="Compact"/>
              <w:jc w:val="left"/>
            </w:pPr>
            <w:r>
              <w:t xml:space="preserve">Production (Scope 1)</w:t>
            </w:r>
          </w:p>
        </w:tc>
        <w:tc>
          <w:tcPr/>
          <w:p>
            <w:pPr>
              <w:pStyle w:val="Compact"/>
              <w:jc w:val="left"/>
            </w:pPr>
            <w:r>
              <w:t xml:space="preserve">Scope 1 (Direct)</w:t>
            </w:r>
          </w:p>
        </w:tc>
        <w:tc>
          <w:tcPr/>
          <w:p>
            <w:pPr>
              <w:pStyle w:val="Compact"/>
              <w:jc w:val="left"/>
            </w:pPr>
            <w:r>
              <w:t xml:space="preserve">Assumed minor direct emissions</w:t>
            </w:r>
          </w:p>
        </w:tc>
        <w:tc>
          <w:tcPr/>
          <w:p>
            <w:pPr>
              <w:pStyle w:val="Compact"/>
              <w:jc w:val="left"/>
            </w:pPr>
            <w:r>
              <w:t xml:space="preserve">N/A</w:t>
            </w:r>
          </w:p>
        </w:tc>
        <w:tc>
          <w:tcPr/>
          <w:p>
            <w:pPr>
              <w:pStyle w:val="Compact"/>
              <w:jc w:val="left"/>
            </w:pPr>
            <w:r>
              <w:t xml:space="preserve">0.100</w:t>
            </w:r>
          </w:p>
        </w:tc>
      </w:tr>
      <w:tr>
        <w:tc>
          <w:tcPr/>
          <w:p>
            <w:pPr>
              <w:pStyle w:val="Compact"/>
              <w:jc w:val="left"/>
            </w:pPr>
            <w:r>
              <w:t xml:space="preserve">Production (Scope 2)</w:t>
            </w:r>
          </w:p>
        </w:tc>
        <w:tc>
          <w:tcPr/>
          <w:p>
            <w:pPr>
              <w:pStyle w:val="Compact"/>
              <w:jc w:val="left"/>
            </w:pPr>
            <w:r>
              <w:t xml:space="preserve">Scope 2 (Purchased Electricity)</w:t>
            </w:r>
          </w:p>
        </w:tc>
        <w:tc>
          <w:tcPr/>
          <w:p>
            <w:pPr>
              <w:pStyle w:val="Compact"/>
              <w:jc w:val="left"/>
            </w:pPr>
            <w:r>
              <w:t xml:space="preserve">(1 - 75%) * 5.0 kWh/unit</w:t>
            </w:r>
          </w:p>
        </w:tc>
        <w:tc>
          <w:tcPr/>
          <w:p>
            <w:pPr>
              <w:pStyle w:val="Compact"/>
              <w:jc w:val="left"/>
            </w:pPr>
            <w:r>
              <w:t xml:space="preserve">0.556 kgCO2e/kWh (China Grid)</w:t>
            </w:r>
          </w:p>
        </w:tc>
        <w:tc>
          <w:tcPr/>
          <w:p>
            <w:pPr>
              <w:pStyle w:val="Compact"/>
              <w:jc w:val="left"/>
            </w:pPr>
            <w:r>
              <w:t xml:space="preserve">0.695</w:t>
            </w:r>
          </w:p>
        </w:tc>
      </w:tr>
      <w:tr>
        <w:tc>
          <w:tcPr/>
          <w:p>
            <w:pPr>
              <w:pStyle w:val="Compact"/>
              <w:jc w:val="left"/>
            </w:pPr>
            <w:r>
              <w:t xml:space="preserve">Transport (Primary Distribution)</w:t>
            </w:r>
          </w:p>
        </w:tc>
        <w:tc>
          <w:tcPr/>
          <w:p>
            <w:pPr>
              <w:pStyle w:val="Compact"/>
              <w:jc w:val="left"/>
            </w:pPr>
            <w:r>
              <w:t xml:space="preserve">Scope 3, Category 4/9</w:t>
            </w:r>
          </w:p>
        </w:tc>
        <w:tc>
          <w:tcPr/>
          <w:p>
            <w:pPr>
              <w:pStyle w:val="Compact"/>
              <w:jc w:val="left"/>
            </w:pPr>
            <w:r>
              <w:t xml:space="preserve">0.0009 tonnes * 1500 km</w:t>
            </w:r>
          </w:p>
        </w:tc>
        <w:tc>
          <w:tcPr/>
          <w:p>
            <w:pPr>
              <w:pStyle w:val="Compact"/>
              <w:jc w:val="left"/>
            </w:pPr>
            <w:r>
              <w:t xml:space="preserve">0.062 kgCO2e/tonne-km (Road Freight)</w:t>
            </w:r>
          </w:p>
        </w:tc>
        <w:tc>
          <w:tcPr/>
          <w:p>
            <w:pPr>
              <w:pStyle w:val="Compact"/>
              <w:jc w:val="left"/>
            </w:pPr>
            <w:r>
              <w:t xml:space="preserve">0.084</w:t>
            </w:r>
          </w:p>
        </w:tc>
      </w:tr>
      <w:tr>
        <w:tc>
          <w:tcPr/>
          <w:p>
            <w:pPr>
              <w:pStyle w:val="Compact"/>
              <w:jc w:val="left"/>
            </w:pPr>
            <w:r>
              <w:t xml:space="preserve">Transport (Last-Mile Delivery)</w:t>
            </w:r>
          </w:p>
        </w:tc>
        <w:tc>
          <w:tcPr/>
          <w:p>
            <w:pPr>
              <w:pStyle w:val="Compact"/>
              <w:jc w:val="left"/>
            </w:pPr>
            <w:r>
              <w:t xml:space="preserve">Scope 3, Category 4/9</w:t>
            </w:r>
          </w:p>
        </w:tc>
        <w:tc>
          <w:tcPr/>
          <w:p>
            <w:pPr>
              <w:pStyle w:val="Compact"/>
              <w:jc w:val="left"/>
            </w:pPr>
            <w:r>
              <w:t xml:space="preserve">1 unit</w:t>
            </w:r>
          </w:p>
        </w:tc>
        <w:tc>
          <w:tcPr/>
          <w:p>
            <w:pPr>
              <w:pStyle w:val="Compact"/>
              <w:jc w:val="left"/>
            </w:pPr>
            <w:r>
              <w:t xml:space="preserve">0.1 kgCO2e/unit (Illustrative for Parcel Courier)</w:t>
            </w:r>
          </w:p>
        </w:tc>
        <w:tc>
          <w:tcPr/>
          <w:p>
            <w:pPr>
              <w:pStyle w:val="Compact"/>
              <w:jc w:val="left"/>
            </w:pPr>
            <w:r>
              <w:t xml:space="preserve">0.100</w:t>
            </w:r>
          </w:p>
        </w:tc>
      </w:tr>
      <w:tr>
        <w:tc>
          <w:tcPr/>
          <w:p>
            <w:pPr>
              <w:pStyle w:val="Compact"/>
              <w:jc w:val="left"/>
            </w:pPr>
            <w:r>
              <w:t xml:space="preserve">Use Phase Energy</w:t>
            </w:r>
          </w:p>
        </w:tc>
        <w:tc>
          <w:tcPr/>
          <w:p>
            <w:pPr>
              <w:pStyle w:val="Compact"/>
              <w:jc w:val="left"/>
            </w:pPr>
            <w:r>
              <w:t xml:space="preserve">Scope 3, Category 11</w:t>
            </w:r>
          </w:p>
        </w:tc>
        <w:tc>
          <w:tcPr/>
          <w:p>
            <w:pPr>
              <w:pStyle w:val="Compact"/>
              <w:jc w:val="left"/>
            </w:pPr>
            <w:r>
              <w:t xml:space="preserve">3 years * 10.0 kWh/year</w:t>
            </w:r>
          </w:p>
        </w:tc>
        <w:tc>
          <w:tcPr/>
          <w:p>
            <w:pPr>
              <w:pStyle w:val="Compact"/>
              <w:jc w:val="left"/>
            </w:pPr>
            <w:r>
              <w:t xml:space="preserve">0.27 kgCO2e/kWh (Avg. EU Grid, illustrative)</w:t>
            </w:r>
          </w:p>
        </w:tc>
        <w:tc>
          <w:tcPr/>
          <w:p>
            <w:pPr>
              <w:pStyle w:val="Compact"/>
              <w:jc w:val="left"/>
            </w:pPr>
            <w:r>
              <w:t xml:space="preserve">8.100</w:t>
            </w:r>
          </w:p>
        </w:tc>
      </w:tr>
      <w:tr>
        <w:tc>
          <w:tcPr/>
          <w:p>
            <w:pPr>
              <w:pStyle w:val="Compact"/>
              <w:jc w:val="left"/>
            </w:pPr>
            <w:r>
              <w:t xml:space="preserve">End-of-Life (Landfill)</w:t>
            </w:r>
          </w:p>
        </w:tc>
        <w:tc>
          <w:tcPr/>
          <w:p>
            <w:pPr>
              <w:pStyle w:val="Compact"/>
              <w:jc w:val="left"/>
            </w:pPr>
            <w:r>
              <w:t xml:space="preserve">Scope 3, Category 12</w:t>
            </w:r>
          </w:p>
        </w:tc>
        <w:tc>
          <w:tcPr/>
          <w:p>
            <w:pPr>
              <w:pStyle w:val="Compact"/>
              <w:jc w:val="left"/>
            </w:pPr>
            <w:r>
              <w:t xml:space="preserve">0.135 kg waste (15% of 0.9kg)</w:t>
            </w:r>
          </w:p>
        </w:tc>
        <w:tc>
          <w:tcPr/>
          <w:p>
            <w:pPr>
              <w:pStyle w:val="Compact"/>
              <w:jc w:val="left"/>
            </w:pPr>
            <w:r>
              <w:t xml:space="preserve">0.033 kgCO2e/kg (Plastic Landfill)</w:t>
            </w:r>
          </w:p>
        </w:tc>
        <w:tc>
          <w:tcPr/>
          <w:p>
            <w:pPr>
              <w:pStyle w:val="Compact"/>
              <w:jc w:val="left"/>
            </w:pPr>
            <w:r>
              <w:t xml:space="preserve">0.005</w:t>
            </w:r>
          </w:p>
        </w:tc>
      </w:tr>
      <w:tr>
        <w:tc>
          <w:tcPr/>
          <w:p>
            <w:pPr>
              <w:pStyle w:val="Compact"/>
              <w:jc w:val="left"/>
            </w:pPr>
            <w:r>
              <w:t xml:space="preserve">End-of-Life (Recycling)</w:t>
            </w:r>
          </w:p>
        </w:tc>
        <w:tc>
          <w:tcPr/>
          <w:p>
            <w:pPr>
              <w:pStyle w:val="Compact"/>
              <w:jc w:val="left"/>
            </w:pPr>
            <w:r>
              <w:t xml:space="preserve">Scope 3, Category 12</w:t>
            </w:r>
          </w:p>
        </w:tc>
        <w:tc>
          <w:tcPr/>
          <w:p>
            <w:pPr>
              <w:pStyle w:val="Compact"/>
              <w:jc w:val="left"/>
            </w:pPr>
            <w:r>
              <w:t xml:space="preserve">0.765 kg waste (85% of 0.9kg)</w:t>
            </w:r>
          </w:p>
        </w:tc>
        <w:tc>
          <w:tcPr/>
          <w:p>
            <w:pPr>
              <w:pStyle w:val="Compact"/>
              <w:jc w:val="left"/>
            </w:pPr>
            <w:r>
              <w:t xml:space="preserve">Combined illustrative factors for Al, ABS, PCB</w:t>
            </w:r>
          </w:p>
        </w:tc>
        <w:tc>
          <w:tcPr/>
          <w:p>
            <w:pPr>
              <w:pStyle w:val="Compact"/>
              <w:jc w:val="left"/>
            </w:pPr>
            <w:r>
              <w:t xml:space="preserve">0.101</w:t>
            </w:r>
          </w:p>
        </w:tc>
      </w:tr>
      <w:tr>
        <w:tc>
          <w:tcPr>
            <w:gridSpan w:val="4"/>
          </w:tcPr>
          <w:p>
            <w:pPr>
              <w:pStyle w:val="Compact"/>
              <w:jc w:val="right"/>
            </w:pPr>
            <w:r>
              <w:t xml:space="preserve">Total Product Carbon Footprint:</w:t>
            </w:r>
          </w:p>
        </w:tc>
        <w:tc>
          <w:tcPr/>
          <w:p>
            <w:pPr>
              <w:pStyle w:val="Compact"/>
              <w:jc w:val="left"/>
            </w:pPr>
            <w:r>
              <w:t xml:space="preserve">17.085 kgCO2e/unit</w:t>
            </w:r>
          </w:p>
        </w:tc>
      </w:tr>
    </w:tbl>
    <w:bookmarkEnd w:id="35"/>
    <w:bookmarkStart w:id="36" w:name="ghg-protocol-scope-summary"/>
    <w:p>
      <w:pPr>
        <w:pStyle w:val="Heading3"/>
      </w:pPr>
      <w:r>
        <w:t xml:space="preserve">4.2 GHG Protocol Scope Summary</w:t>
      </w:r>
    </w:p>
    <w:p>
      <w:pPr>
        <w:pStyle w:val="FirstParagraph"/>
      </w:pPr>
      <w:r>
        <w:t xml:space="preserve">Categorization of emissions according to the GHG Protocol:</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Emission Category</w:t>
            </w:r>
          </w:p>
        </w:tc>
        <w:tc>
          <w:tcPr/>
          <w:p>
            <w:pPr>
              <w:pStyle w:val="Compact"/>
              <w:jc w:val="left"/>
            </w:pPr>
            <w:r>
              <w:t xml:space="preserve">Calculated Emissions (kgCO2e/unit)</w:t>
            </w:r>
          </w:p>
        </w:tc>
        <w:tc>
          <w:tcPr/>
          <w:p>
            <w:pPr>
              <w:pStyle w:val="Compact"/>
              <w:jc w:val="left"/>
            </w:pPr>
            <w:r>
              <w:t xml:space="preserve">Percentage of Total</w:t>
            </w:r>
          </w:p>
        </w:tc>
      </w:tr>
      <w:tr>
        <w:tc>
          <w:tcPr/>
          <w:p>
            <w:pPr>
              <w:pStyle w:val="Compact"/>
              <w:jc w:val="left"/>
            </w:pPr>
            <w:r>
              <w:rPr>
                <w:bCs/>
                <w:b/>
              </w:rPr>
              <w:t xml:space="preserve">Scope 1</w:t>
            </w:r>
          </w:p>
        </w:tc>
        <w:tc>
          <w:tcPr/>
          <w:p>
            <w:pPr>
              <w:pStyle w:val="Compact"/>
              <w:jc w:val="left"/>
            </w:pPr>
            <w:r>
              <w:t xml:space="preserve">Direct Emissions (Production)</w:t>
            </w:r>
          </w:p>
        </w:tc>
        <w:tc>
          <w:tcPr/>
          <w:p>
            <w:pPr>
              <w:pStyle w:val="Compact"/>
              <w:jc w:val="left"/>
            </w:pPr>
            <w:r>
              <w:t xml:space="preserve">0.100</w:t>
            </w:r>
          </w:p>
        </w:tc>
        <w:tc>
          <w:tcPr/>
          <w:p>
            <w:pPr>
              <w:pStyle w:val="Compact"/>
              <w:jc w:val="left"/>
            </w:pPr>
            <w:r>
              <w:t xml:space="preserve">0.58%</w:t>
            </w:r>
          </w:p>
        </w:tc>
      </w:tr>
      <w:tr>
        <w:tc>
          <w:tcPr/>
          <w:p>
            <w:pPr>
              <w:pStyle w:val="Compact"/>
              <w:jc w:val="left"/>
            </w:pPr>
            <w:r>
              <w:rPr>
                <w:bCs/>
                <w:b/>
              </w:rPr>
              <w:t xml:space="preserve">Scope 2</w:t>
            </w:r>
          </w:p>
        </w:tc>
        <w:tc>
          <w:tcPr/>
          <w:p>
            <w:pPr>
              <w:pStyle w:val="Compact"/>
              <w:jc w:val="left"/>
            </w:pPr>
            <w:r>
              <w:t xml:space="preserve">Purchased Electricity (Production)</w:t>
            </w:r>
          </w:p>
        </w:tc>
        <w:tc>
          <w:tcPr/>
          <w:p>
            <w:pPr>
              <w:pStyle w:val="Compact"/>
              <w:jc w:val="left"/>
            </w:pPr>
            <w:r>
              <w:t xml:space="preserve">0.695</w:t>
            </w:r>
          </w:p>
        </w:tc>
        <w:tc>
          <w:tcPr/>
          <w:p>
            <w:pPr>
              <w:pStyle w:val="Compact"/>
              <w:jc w:val="left"/>
            </w:pPr>
            <w:r>
              <w:t xml:space="preserve">4.07%</w:t>
            </w:r>
          </w:p>
        </w:tc>
      </w:tr>
      <w:tr>
        <w:tc>
          <w:tcPr>
            <w:vMerge w:val="restart"/>
          </w:tcPr>
          <w:p>
            <w:pPr>
              <w:pStyle w:val="Compact"/>
              <w:jc w:val="left"/>
            </w:pPr>
            <w:r>
              <w:rPr>
                <w:bCs/>
                <w:b/>
              </w:rPr>
              <w:t xml:space="preserve">Scope 3</w:t>
            </w:r>
          </w:p>
        </w:tc>
        <w:tc>
          <w:tcPr/>
          <w:p>
            <w:pPr>
              <w:pStyle w:val="Compact"/>
              <w:jc w:val="left"/>
            </w:pPr>
            <w:r>
              <w:t xml:space="preserve">Category 1: Purchased Goods &amp; Services (Materials)</w:t>
            </w:r>
          </w:p>
        </w:tc>
        <w:tc>
          <w:tcPr/>
          <w:p>
            <w:pPr>
              <w:pStyle w:val="Compact"/>
              <w:jc w:val="left"/>
            </w:pPr>
            <w:r>
              <w:t xml:space="preserve">7.900</w:t>
            </w:r>
          </w:p>
        </w:tc>
        <w:tc>
          <w:tcPr/>
          <w:p>
            <w:pPr>
              <w:pStyle w:val="Compact"/>
              <w:jc w:val="left"/>
            </w:pPr>
            <w:r>
              <w:t xml:space="preserve">46.24%</w:t>
            </w:r>
          </w:p>
        </w:tc>
      </w:tr>
      <w:tr>
        <w:tc>
          <w:tcPr>
            <w:gridSpan w:val="1"/>
            <w:vMerge w:val="continue"/>
          </w:tcPr>
          <w:p>
            <w:pPr/>
          </w:p>
        </w:tc>
        <w:tc>
          <w:tcPr/>
          <w:p>
            <w:pPr>
              <w:pStyle w:val="Compact"/>
              <w:jc w:val="left"/>
            </w:pPr>
            <w:r>
              <w:t xml:space="preserve">Category 4/9: Transportation &amp; Distribution</w:t>
            </w:r>
          </w:p>
        </w:tc>
        <w:tc>
          <w:tcPr/>
          <w:p>
            <w:pPr>
              <w:pStyle w:val="Compact"/>
              <w:jc w:val="left"/>
            </w:pPr>
            <w:r>
              <w:t xml:space="preserve">0.184</w:t>
            </w:r>
          </w:p>
        </w:tc>
        <w:tc>
          <w:tcPr/>
          <w:p>
            <w:pPr>
              <w:pStyle w:val="Compact"/>
              <w:jc w:val="left"/>
            </w:pPr>
            <w:r>
              <w:t xml:space="preserve">1.08%</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8.100</w:t>
            </w:r>
          </w:p>
        </w:tc>
        <w:tc>
          <w:tcPr/>
          <w:p>
            <w:pPr>
              <w:pStyle w:val="Compact"/>
              <w:jc w:val="left"/>
            </w:pPr>
            <w:r>
              <w:t xml:space="preserve">47.41%</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0.106</w:t>
            </w:r>
          </w:p>
        </w:tc>
        <w:tc>
          <w:tcPr/>
          <w:p>
            <w:pPr>
              <w:pStyle w:val="Compact"/>
              <w:jc w:val="left"/>
            </w:pPr>
            <w:r>
              <w:t xml:space="preserve">0.62%</w:t>
            </w:r>
          </w:p>
        </w:tc>
      </w:tr>
      <w:tr>
        <w:tc>
          <w:tcPr>
            <w:gridSpan w:val="1"/>
            <w:vMerge w:val="continue"/>
          </w:tcPr>
          <w:p>
            <w:pPr/>
          </w:p>
        </w:tc>
        <w:tc>
          <w:tcPr/>
          <w:p>
            <w:pPr>
              <w:pStyle w:val="Compact"/>
              <w:jc w:val="left"/>
            </w:pPr>
            <w:r>
              <w:rPr>
                <w:bCs/>
                <w:b/>
              </w:rPr>
              <w:t xml:space="preserve">Total Scope 3 Emissions</w:t>
            </w:r>
          </w:p>
        </w:tc>
        <w:tc>
          <w:tcPr/>
          <w:p>
            <w:pPr>
              <w:pStyle w:val="Compact"/>
            </w:pPr>
          </w:p>
        </w:tc>
        <w:tc>
          <w:tcPr/>
          <w:p>
            <w:pPr>
              <w:pStyle w:val="Compact"/>
              <w:jc w:val="left"/>
            </w:pPr>
            <w:r>
              <w:t xml:space="preserve">16.290</w:t>
            </w:r>
          </w:p>
        </w:tc>
      </w:tr>
      <w:tr>
        <w:tc>
          <w:tcPr>
            <w:gridSpan w:val="2"/>
          </w:tcPr>
          <w:p>
            <w:pPr>
              <w:pStyle w:val="Compact"/>
              <w:jc w:val="right"/>
            </w:pPr>
            <w:r>
              <w:rPr>
                <w:bCs/>
                <w:b/>
              </w:rPr>
              <w:t xml:space="preserve">Grand Total PCF:</w:t>
            </w:r>
          </w:p>
        </w:tc>
        <w:tc>
          <w:tcPr/>
          <w:p>
            <w:pPr>
              <w:pStyle w:val="Compact"/>
              <w:jc w:val="left"/>
            </w:pPr>
            <w:r>
              <w:rPr>
                <w:bCs/>
                <w:b/>
              </w:rPr>
              <w:t xml:space="preserve">17.085 kgCO2e/unit</w:t>
            </w:r>
          </w:p>
        </w:tc>
        <w:tc>
          <w:tcPr/>
          <w:p>
            <w:pPr>
              <w:pStyle w:val="Compact"/>
              <w:jc w:val="left"/>
            </w:pPr>
            <w:r>
              <w:rPr>
                <w:bCs/>
                <w:b/>
              </w:rPr>
              <w:t xml:space="preserve">100.00%</w:t>
            </w:r>
          </w:p>
        </w:tc>
      </w:tr>
    </w:tbl>
    <w:p>
      <w:pPr>
        <w:pStyle w:val="BodyText"/>
      </w:pPr>
      <w:r>
        <w:t xml:space="preserve">The Scope 3 coverage of 95.35% for this analysis meets the 2026 GHG Protocol requirement of at least 95%.</w:t>
      </w:r>
    </w:p>
    <w:bookmarkEnd w:id="36"/>
    <w:bookmarkStart w:id="37" w:name="application-of-2026-lsr-update"/>
    <w:p>
      <w:pPr>
        <w:pStyle w:val="Heading3"/>
      </w:pPr>
      <w:r>
        <w:t xml:space="preserve">4.3 Application of 2026 LSR Update</w:t>
      </w:r>
    </w:p>
    <w:p>
      <w:pPr>
        <w:pStyle w:val="FirstParagraph"/>
      </w:pPr>
      <w:r>
        <w:t xml:space="preserve">The Land Sector and Removals (LSR) Standard for land use and carbon removals has been conceptually applied. While explicit granular data for land use change emissions or direct carbon removals associated with specific materials in the BOM were not provided, the selected emission factors from comprehensive databases are assumed to inherently account for relevant upstream land-use impacts where applicable. For future analyses, dedicated LSR data collection for bio-based materials and forestry products would further enhance accuracy and compliance.</w:t>
      </w:r>
    </w:p>
    <w:p>
      <w:r>
        <w:pict>
          <v:rect style="width:0;height:1.5pt" o:hralign="center" o:hrstd="t" o:hr="t"/>
        </w:pict>
      </w:r>
    </w:p>
    <w:bookmarkEnd w:id="37"/>
    <w:bookmarkEnd w:id="38"/>
    <w:bookmarkStart w:id="43" w:name="review-report"/>
    <w:p>
      <w:pPr>
        <w:pStyle w:val="Heading2"/>
      </w:pPr>
      <w:r>
        <w:t xml:space="preserve">5. Review &amp; Report</w:t>
      </w:r>
    </w:p>
    <w:bookmarkStart w:id="39" w:name="emission-hotspots"/>
    <w:p>
      <w:pPr>
        <w:pStyle w:val="Heading3"/>
      </w:pPr>
      <w:r>
        <w:t xml:space="preserve">5.1 Emission Hotspots</w:t>
      </w:r>
    </w:p>
    <w:p>
      <w:pPr>
        <w:pStyle w:val="FirstParagraph"/>
      </w:pPr>
      <w:r>
        <w:t xml:space="preserve">The analysis reveals the following major emission hotspots for pmrxtygxpl:</w:t>
      </w:r>
    </w:p>
    <w:p>
      <w:pPr>
        <w:numPr>
          <w:ilvl w:val="0"/>
          <w:numId w:val="1006"/>
        </w:numPr>
        <w:pStyle w:val="Compact"/>
      </w:pPr>
      <w:r>
        <w:rPr>
          <w:bCs/>
          <w:b/>
        </w:rPr>
        <w:t xml:space="preserve">Use Phase (47.41%):</w:t>
      </w:r>
      <w:r>
        <w:t xml:space="preserve"> </w:t>
      </w:r>
      <w:r>
        <w:t xml:space="preserve">The largest contributor to the PCF is the energy consumption during the product\'s operational lifespan. This highlights a critical area for design intervention, focusing on energy efficiency and low-carbon energy sources for users.</w:t>
      </w:r>
    </w:p>
    <w:p>
      <w:pPr>
        <w:numPr>
          <w:ilvl w:val="0"/>
          <w:numId w:val="1006"/>
        </w:numPr>
        <w:pStyle w:val="Compact"/>
      </w:pPr>
      <w:r>
        <w:rPr>
          <w:bCs/>
          <w:b/>
        </w:rPr>
        <w:t xml:space="preserve">Purchased Goods &amp; Services (Materials) (46.24%):</w:t>
      </w:r>
      <w:r>
        <w:t xml:space="preserve"> </w:t>
      </w:r>
      <w:r>
        <w:t xml:space="preserve">The materials used in the product, as indicated by the BOM\'s "Total Carbon," represent the second most significant hotspot. Strategies to reduce this impact include material optimization, sourcing lower-carbon alternatives, increasing recycled content, and engaging with suppliers to reduce their upstream emissions.</w:t>
      </w:r>
    </w:p>
    <w:p>
      <w:pPr>
        <w:numPr>
          <w:ilvl w:val="0"/>
          <w:numId w:val="1006"/>
        </w:numPr>
        <w:pStyle w:val="Compact"/>
      </w:pPr>
      <w:r>
        <w:rPr>
          <w:bCs/>
          <w:b/>
        </w:rPr>
        <w:t xml:space="preserve">Production (Scope 2, 4.07%):</w:t>
      </w:r>
      <w:r>
        <w:t xml:space="preserve"> </w:t>
      </w:r>
      <w:r>
        <w:t xml:space="preserve">While smaller than the other two, the purchased electricity for manufacturing remains a notable area. Increasing the renewable energy share beyond the current 75% at the production facility can further reduce this footprint.</w:t>
      </w:r>
    </w:p>
    <w:bookmarkEnd w:id="39"/>
    <w:bookmarkStart w:id="40" w:name="reliability-of-data-and-assumptions"/>
    <w:p>
      <w:pPr>
        <w:pStyle w:val="Heading3"/>
      </w:pPr>
      <w:r>
        <w:t xml:space="preserve">5.2 Reliability of Data and Assumptions</w:t>
      </w:r>
    </w:p>
    <w:p>
      <w:pPr>
        <w:pStyle w:val="FirstParagraph"/>
      </w:pPr>
      <w:r>
        <w:t xml:space="preserve">The reliability of this report is high, primarily due to the direct incorporation of specific company data for BOM, energy usage, transport distances, and EoL scenarios. The use of pre-calculated "Total Carbon" in the BOM for materials significantly improves accuracy over generic estimates.</w:t>
      </w:r>
    </w:p>
    <w:p>
      <w:pPr>
        <w:pStyle w:val="BodyText"/>
      </w:pPr>
      <w:r>
        <w:t xml:space="preserve">Assumptions were made for:</w:t>
      </w:r>
    </w:p>
    <w:p>
      <w:pPr>
        <w:numPr>
          <w:ilvl w:val="0"/>
          <w:numId w:val="1007"/>
        </w:numPr>
        <w:pStyle w:val="Compact"/>
      </w:pPr>
      <w:r>
        <w:t xml:space="preserve">Illustrative emission factors for transportation (e.g., road freight), general grid electricity for use phase (average EU), and EoL processes (e.g., landfill, recycling) where specific Ecoinvent/DEFRA database access was not utilized. These are based on industry averages and best available public data.</w:t>
      </w:r>
    </w:p>
    <w:p>
      <w:pPr>
        <w:numPr>
          <w:ilvl w:val="0"/>
          <w:numId w:val="1007"/>
        </w:numPr>
        <w:pStyle w:val="Compact"/>
      </w:pPr>
      <w:r>
        <w:t xml:space="preserve">The nature of "Select Mode," "ufqqzrqerd," and "Delivery Type" were interpreted as representative transport parameters.</w:t>
      </w:r>
    </w:p>
    <w:p>
      <w:pPr>
        <w:numPr>
          <w:ilvl w:val="0"/>
          <w:numId w:val="1007"/>
        </w:numPr>
        <w:pStyle w:val="Compact"/>
      </w:pPr>
      <w:r>
        <w:t xml:space="preserve">Minimal Scope 1 direct emissions were assumed for the production phase.</w:t>
      </w:r>
    </w:p>
    <w:p>
      <w:pPr>
        <w:numPr>
          <w:ilvl w:val="0"/>
          <w:numId w:val="1007"/>
        </w:numPr>
        <w:pStyle w:val="Compact"/>
      </w:pPr>
      <w:r>
        <w:t xml:space="preserve">The inherent accounting of land use and removals within broader emission factors, in lieu of dedicated LSR data for each material.</w:t>
      </w:r>
    </w:p>
    <w:p>
      <w:pPr>
        <w:pStyle w:val="FirstParagraph"/>
      </w:pPr>
      <w:r>
        <w:t xml:space="preserve">Further improvements in data granularity, especially for specific transport modes, regional electricity mixes for product use, and detailed EoL processing for each material, would further enhance the accuracy.</w:t>
      </w:r>
    </w:p>
    <w:bookmarkEnd w:id="40"/>
    <w:bookmarkStart w:id="42" w:name="recommendations-for-emission-reduction"/>
    <w:p>
      <w:pPr>
        <w:pStyle w:val="Heading3"/>
      </w:pPr>
      <w:r>
        <w:t xml:space="preserve">5.3 Recommendations for Emission Reduction</w:t>
      </w:r>
    </w:p>
    <w:p>
      <w:pPr>
        <w:pStyle w:val="FirstParagraph"/>
      </w:pPr>
      <w:r>
        <w:t xml:space="preserve">Based on the identified hotspots, wshlowqqfr should consider the following actions to reduce the PCF of pmrxtygxpl:</w:t>
      </w:r>
    </w:p>
    <w:p>
      <w:pPr>
        <w:numPr>
          <w:ilvl w:val="0"/>
          <w:numId w:val="1008"/>
        </w:numPr>
        <w:pStyle w:val="Compact"/>
      </w:pPr>
      <w:r>
        <w:rPr>
          <w:bCs/>
          <w:b/>
        </w:rPr>
        <w:t xml:space="preserve">Enhance Use Phase Efficiency:</w:t>
      </w:r>
    </w:p>
    <w:p>
      <w:pPr>
        <w:numPr>
          <w:ilvl w:val="1"/>
          <w:numId w:val="1009"/>
        </w:numPr>
        <w:pStyle w:val="Compact"/>
      </w:pPr>
      <w:r>
        <w:t xml:space="preserve">Invest in research and development to improve the energy efficiency of pmrxtygxpl during its operational life.</w:t>
      </w:r>
    </w:p>
    <w:p>
      <w:pPr>
        <w:numPr>
          <w:ilvl w:val="1"/>
          <w:numId w:val="1009"/>
        </w:numPr>
        <w:pStyle w:val="Compact"/>
      </w:pPr>
      <w:r>
        <w:t xml:space="preserve">Explore options for incorporating low-power modes or smarter energy management features.</w:t>
      </w:r>
    </w:p>
    <w:p>
      <w:pPr>
        <w:numPr>
          <w:ilvl w:val="1"/>
          <w:numId w:val="1009"/>
        </w:numPr>
        <w:pStyle w:val="Compact"/>
      </w:pPr>
      <w:r>
        <w:t xml:space="preserve">Educate end-users on energy-efficient operation and the benefits of sourcing renewable electricity.</w:t>
      </w:r>
    </w:p>
    <w:p>
      <w:pPr>
        <w:numPr>
          <w:ilvl w:val="0"/>
          <w:numId w:val="1008"/>
        </w:numPr>
        <w:pStyle w:val="Compact"/>
      </w:pPr>
      <w:r>
        <w:rPr>
          <w:bCs/>
          <w:b/>
        </w:rPr>
        <w:t xml:space="preserve">Material Decarbonization:</w:t>
      </w:r>
    </w:p>
    <w:p>
      <w:pPr>
        <w:numPr>
          <w:ilvl w:val="1"/>
          <w:numId w:val="1010"/>
        </w:numPr>
        <w:pStyle w:val="Compact"/>
      </w:pPr>
      <w:r>
        <w:t xml:space="preserve">Collaborate with suppliers (Scope 3, Category 1) to identify and procure lower-carbon materials, focusing on aluminum and plastics.</w:t>
      </w:r>
    </w:p>
    <w:p>
      <w:pPr>
        <w:numPr>
          <w:ilvl w:val="1"/>
          <w:numId w:val="1010"/>
        </w:numPr>
        <w:pStyle w:val="Compact"/>
      </w:pPr>
      <w:r>
        <w:t xml:space="preserve">Increase the recycled content of components where technically and economically feasible, with a focus on materials with high virgin production footprints.</w:t>
      </w:r>
    </w:p>
    <w:p>
      <w:pPr>
        <w:numPr>
          <w:ilvl w:val="1"/>
          <w:numId w:val="1010"/>
        </w:numPr>
        <w:pStyle w:val="Compact"/>
      </w:pPr>
      <w:r>
        <w:t xml:space="preserve">Explore innovative, bio-based, or circular materials with certified low environmental impacts.</w:t>
      </w:r>
    </w:p>
    <w:p>
      <w:pPr>
        <w:numPr>
          <w:ilvl w:val="0"/>
          <w:numId w:val="1008"/>
        </w:numPr>
        <w:pStyle w:val="Compact"/>
      </w:pPr>
      <w:r>
        <w:rPr>
          <w:bCs/>
          <w:b/>
        </w:rPr>
        <w:t xml:space="preserve">Optimized Production Energy:</w:t>
      </w:r>
    </w:p>
    <w:p>
      <w:pPr>
        <w:numPr>
          <w:ilvl w:val="1"/>
          <w:numId w:val="1011"/>
        </w:numPr>
        <w:pStyle w:val="Compact"/>
      </w:pPr>
      <w:r>
        <w:t xml:space="preserve">Strive for 100% renewable energy procurement for the China production facility (Scope 2) to eliminate indirect emissions from purchased electricity.</w:t>
      </w:r>
    </w:p>
    <w:p>
      <w:pPr>
        <w:numPr>
          <w:ilvl w:val="1"/>
          <w:numId w:val="1011"/>
        </w:numPr>
        <w:pStyle w:val="Compact"/>
      </w:pPr>
      <w:r>
        <w:t xml:space="preserve">Implement energy efficiency measures within the factory to reduce overall energy consumption.</w:t>
      </w:r>
    </w:p>
    <w:p>
      <w:pPr>
        <w:numPr>
          <w:ilvl w:val="0"/>
          <w:numId w:val="1008"/>
        </w:numPr>
        <w:pStyle w:val="Compact"/>
      </w:pPr>
      <w:r>
        <w:rPr>
          <w:bCs/>
          <w:b/>
        </w:rPr>
        <w:t xml:space="preserve">Strengthen Circularity:</w:t>
      </w:r>
    </w:p>
    <w:p>
      <w:pPr>
        <w:numPr>
          <w:ilvl w:val="1"/>
          <w:numId w:val="1012"/>
        </w:numPr>
        <w:pStyle w:val="Compact"/>
      </w:pPr>
      <w:r>
        <w:t xml:space="preserve">Expand and promote existing circular/take-back programs (lnqdhyfxpk) to maximize actual recycling rates and ensure high-quality material recovery.</w:t>
      </w:r>
    </w:p>
    <w:p>
      <w:pPr>
        <w:numPr>
          <w:ilvl w:val="1"/>
          <w:numId w:val="1012"/>
        </w:numPr>
        <w:pStyle w:val="Compact"/>
      </w:pPr>
      <w:r>
        <w:t xml:space="preserve">Design for disassembly and repairability to extend product lifespan and facilitate end-of-life processing.</w:t>
      </w:r>
    </w:p>
    <w:p>
      <w:r>
        <w:pict>
          <v:rect style="width:0;height:1.5pt" o:hralign="center" o:hrstd="t" o:hr="t"/>
        </w:pict>
      </w:r>
    </w:p>
    <w:p>
      <w:pPr>
        <w:pStyle w:val="FirstParagraph"/>
      </w:pPr>
      <w:r>
        <w:t xml:space="preserve">End of Report</w:t>
      </w:r>
    </w:p>
    <w:p>
      <w:pPr>
        <w:pStyle w:val="BodyText"/>
      </w:pPr>
      <w:r>
        <w:t xml:space="preserve">Confidential - Internal Use Only | Page</w:t>
      </w:r>
      <w:r>
        <w:t xml:space="preserve"> </w:t>
      </w:r>
      <w:bookmarkStart w:id="41" w:name="page-number"/>
      <w:bookmarkEnd w:id="41"/>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pmrxtygxpl</dc:title>
  <dc:creator/>
  <dc:description>High-detail Product Carbon Footprint (PCF) analysis report for pmrxtygxpl by kuiolvfdiw, Senior Sustainability Consultant at wshlowqqfr, adhering to GHG Protocol standards including 2026 LSR update and Scope 3 compliance.</dc:description>
  <dc:language>en</dc:language>
  <cp:keywords/>
  <dcterms:created xsi:type="dcterms:W3CDTF">2026-06-13T02:02:23Z</dcterms:created>
  <dcterms:modified xsi:type="dcterms:W3CDTF">2026-06-13T02:02:23Z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