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pmdgkxlozk</w:t>
      </w:r>
      <w:r>
        <w:t xml:space="preserve"> </w:t>
      </w:r>
      <w:r>
        <w:t xml:space="preserve">-</w:t>
      </w:r>
      <w:r>
        <w:t xml:space="preserve"> </w:t>
      </w:r>
      <w:r>
        <w:t xml:space="preserve">ixqnfryukm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pmdgkxlozk</w:t>
      </w:r>
    </w:p>
    <w:p>
      <w:pPr>
        <w:pStyle w:val="BodyText"/>
      </w:pPr>
      <w:r>
        <w:rPr>
          <w:bCs/>
          <w:b/>
        </w:rPr>
        <w:t xml:space="preserve">Company Name:</w:t>
      </w:r>
      <w:r>
        <w:t xml:space="preserve"> </w:t>
      </w:r>
      <w:r>
        <w:t xml:space="preserve">ixqnfryukm</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ldgrukokwv</w:t>
      </w:r>
    </w:p>
    <w:p>
      <w:pPr>
        <w:pStyle w:val="BodyText"/>
      </w:pPr>
      <w:r>
        <w:rPr>
          <w:iCs/>
          <w:i/>
        </w:rPr>
        <w:t xml:space="preserve">This report is generated based on available data and industry standards. While every effort has been made to ensure accuracy, the actual environmental impact may vary depending on specific operational details and evolving market conditions.</w:t>
      </w:r>
    </w:p>
    <w:bookmarkEnd w:id="20"/>
    <w:bookmarkStart w:id="48" w:name="Xdf98847d776cd1f1d637ef749fcc2f243a07458"/>
    <w:p>
      <w:pPr>
        <w:pStyle w:val="Heading1"/>
      </w:pPr>
      <w:r>
        <w:t xml:space="preserve">Product Carbon Footprint Analysis Report: pmdgkxlozk</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pmdgkxlozk</w:t>
      </w:r>
      <w:r>
        <w:t xml:space="preserve"> </w:t>
      </w:r>
      <w:r>
        <w:t xml:space="preserve">manufactured by</w:t>
      </w:r>
      <w:r>
        <w:t xml:space="preserve"> </w:t>
      </w:r>
      <w:r>
        <w:rPr>
          <w:bCs/>
          <w:b/>
        </w:rPr>
        <w:t xml:space="preserve">ixqnfryukm</w:t>
      </w:r>
      <w:r>
        <w:t xml:space="preserve">. Conducted by Senior Sustainability Consultant</w:t>
      </w:r>
      <w:r>
        <w:t xml:space="preserve"> </w:t>
      </w:r>
      <w:r>
        <w:rPr>
          <w:bCs/>
          <w:b/>
        </w:rPr>
        <w:t xml:space="preserve">ldgrukokwv</w:t>
      </w:r>
      <w:r>
        <w:t xml:space="preserve">, this analysis adheres strictly to the GHG Protocol standards, including the 2026 Land Sector and Removals (LSR) update and aims for at least 95% Scope 3 coverage. The PCF quantifies the total Greenhouse Gas (GHG) emissions, expressed in CO2 equivalents (CO2e), across the product\'s lifecycle, from raw material extraction to end-of-life. The findings highlight key emission hotspots and provide a foundational understanding for targeted decarbonization strategies.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In response to increasing global sustainability demands and regulatory pressures,</w:t>
      </w:r>
      <w:r>
        <w:t xml:space="preserve"> </w:t>
      </w:r>
      <w:r>
        <w:rPr>
          <w:bCs/>
          <w:b/>
        </w:rPr>
        <w:t xml:space="preserve">ixqnfryukm</w:t>
      </w:r>
      <w:r>
        <w:t xml:space="preserve"> </w:t>
      </w:r>
      <w:r>
        <w:t xml:space="preserve">has commissioned this detailed Product Carbon Footprint (PCF) analysis for its product,</w:t>
      </w:r>
      <w:r>
        <w:t xml:space="preserve"> </w:t>
      </w:r>
      <w:r>
        <w:rPr>
          <w:bCs/>
          <w:b/>
        </w:rPr>
        <w:t xml:space="preserve">pmdgkxlozk</w:t>
      </w:r>
      <w:r>
        <w:t xml:space="preserve">. The objective is to quantify the greenhouse gas (GHG) emissions associated with this product throughout its entire lifecycle. This assessment is performed in accordance with the</w:t>
      </w:r>
      <w:r>
        <w:t xml:space="preserve"> </w:t>
      </w:r>
      <w:r>
        <w:rPr>
          <w:bCs/>
          <w:b/>
        </w:rPr>
        <w:t xml:space="preserve">GHG Protocol</w:t>
      </w:r>
      <w:r>
        <w:t xml:space="preserve">, the internationally recognized standard for GHG accounting. The insights derived will support</w:t>
      </w:r>
      <w:r>
        <w:t xml:space="preserve"> </w:t>
      </w:r>
      <w:r>
        <w:rPr>
          <w:bCs/>
          <w:b/>
        </w:rPr>
        <w:t xml:space="preserve">ixqnfryukm</w:t>
      </w:r>
      <w:r>
        <w:t xml:space="preserve"> </w:t>
      </w:r>
      <w:r>
        <w:t xml:space="preserve">in identifying environmental hotspots, optimizing design and operational processes, and communicating its environmental performance transparently to stakeholders. The analysis has been performed by</w:t>
      </w:r>
      <w:r>
        <w:t xml:space="preserve"> </w:t>
      </w:r>
      <w:r>
        <w:rPr>
          <w:bCs/>
          <w:b/>
        </w:rPr>
        <w:t xml:space="preserve">ldgrukokwv</w:t>
      </w:r>
      <w:r>
        <w:t xml:space="preserve">, Senior Sustainability Consultant.</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PCF analysis follows the robust, internationally recognized framework of the GHG Protocol, encompassing the following five key steps:</w:t>
      </w:r>
    </w:p>
    <w:p>
      <w:pPr>
        <w:numPr>
          <w:ilvl w:val="0"/>
          <w:numId w:val="1001"/>
        </w:numPr>
        <w:pStyle w:val="Compact"/>
      </w:pPr>
      <w:r>
        <w:rPr>
          <w:bCs/>
          <w:b/>
        </w:rPr>
        <w:t xml:space="preserve">Define Scope:</w:t>
      </w:r>
      <w:r>
        <w:t xml:space="preserve"> </w:t>
      </w:r>
      <w:r>
        <w:t xml:space="preserve">Clearly 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 cycle that contribute to GHG emissions.</w:t>
      </w:r>
    </w:p>
    <w:p>
      <w:pPr>
        <w:numPr>
          <w:ilvl w:val="0"/>
          <w:numId w:val="1001"/>
        </w:numPr>
        <w:pStyle w:val="Compact"/>
      </w:pPr>
      <w:r>
        <w:rPr>
          <w:bCs/>
          <w:b/>
        </w:rPr>
        <w:t xml:space="preserve">Collect Data (Primary/Secondary data points):</w:t>
      </w:r>
      <w:r>
        <w:t xml:space="preserve"> </w:t>
      </w:r>
      <w:r>
        <w:t xml:space="preserve">Gather specific activity data for each identified process, utilizing primary data where available and high-quality secondary (industry-average) data for gaps.</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converting all GHGs to CO2 equivalents (CO2e).</w:t>
      </w:r>
    </w:p>
    <w:p>
      <w:pPr>
        <w:numPr>
          <w:ilvl w:val="0"/>
          <w:numId w:val="1001"/>
        </w:numPr>
        <w:pStyle w:val="Compact"/>
      </w:pPr>
      <w:r>
        <w:rPr>
          <w:bCs/>
          <w:b/>
        </w:rPr>
        <w:t xml:space="preserve">Review &amp; Report:</w:t>
      </w:r>
      <w:r>
        <w:t xml:space="preserve"> </w:t>
      </w:r>
      <w:r>
        <w:t xml:space="preserve">Analyze the results to identify emission hotspots, assess data reliability, and compile a comprehensive report.</w:t>
      </w:r>
    </w:p>
    <w:bookmarkStart w:id="23" w:name="Xdd5b924a484967b8b92338e747265f76bd661ae"/>
    <w:p>
      <w:pPr>
        <w:pStyle w:val="Heading3"/>
      </w:pPr>
      <w:r>
        <w:t xml:space="preserve">2.1. Adherence to GHG Protocol and Key Updates</w:t>
      </w:r>
    </w:p>
    <w:p>
      <w:pPr>
        <w:numPr>
          <w:ilvl w:val="0"/>
          <w:numId w:val="1002"/>
        </w:numPr>
        <w:pStyle w:val="Compact"/>
      </w:pPr>
      <w:r>
        <w:rPr>
          <w:bCs/>
          <w:b/>
        </w:rPr>
        <w:t xml:space="preserve">Categorization of Emissions:</w:t>
      </w:r>
      <w:r>
        <w:t xml:space="preserve"> </w:t>
      </w:r>
      <w:r>
        <w:t xml:space="preserve">Emissions are categorized into Scope 1 (direct emissions from owned or controlled sources), Scope 2 (indirect emissions from purchased electricity, steam, heating, or cooling), and Scope 3 (all other indirect emissions in the value chain, both upstream and downstream).</w:t>
      </w:r>
    </w:p>
    <w:p>
      <w:pPr>
        <w:numPr>
          <w:ilvl w:val="0"/>
          <w:numId w:val="1002"/>
        </w:numPr>
        <w:pStyle w:val="Compact"/>
      </w:pPr>
      <w:r>
        <w:rPr>
          <w:bCs/>
          <w:b/>
        </w:rPr>
        <w:t xml:space="preserve">2026 LSR Update:</w:t>
      </w:r>
      <w:r>
        <w:t xml:space="preserve"> </w:t>
      </w:r>
      <w:r>
        <w:t xml:space="preserve">The analysis incorporates the requirements and recommendations of the GHG Protocol\'s Land Sector and Removals (LSR) Standard, effective January 1, 2027. This standard provides guidance for accounting for emissions and carbon removals from agricultural and land use activities.</w:t>
      </w:r>
    </w:p>
    <w:p>
      <w:pPr>
        <w:numPr>
          <w:ilvl w:val="0"/>
          <w:numId w:val="1002"/>
        </w:numPr>
        <w:pStyle w:val="Compact"/>
      </w:pPr>
      <w:r>
        <w:rPr>
          <w:bCs/>
          <w:b/>
        </w:rPr>
        <w:t xml:space="preserve">Scope 3 Compliance:</w:t>
      </w:r>
      <w:r>
        <w:t xml:space="preserve"> </w:t>
      </w:r>
      <w:r>
        <w:t xml:space="preserve">Significant effort has been placed on achieving at least 95% coverage for Scope 3 emissions, as mandated by the 2026 requirements, recognizing that Scope 3 typically represents the largest portion of a company\'s carbon footprint.</w:t>
      </w:r>
    </w:p>
    <w:p>
      <w:r>
        <w:pict>
          <v:rect style="width:0;height:1.5pt" o:hralign="center" o:hrstd="t" o:hr="t"/>
        </w:pict>
      </w:r>
    </w:p>
    <w:bookmarkEnd w:id="23"/>
    <w:bookmarkEnd w:id="24"/>
    <w:bookmarkStart w:id="25" w:name="scope-definition"/>
    <w:p>
      <w:pPr>
        <w:pStyle w:val="Heading2"/>
      </w:pPr>
      <w:r>
        <w:t xml:space="preserve">3. Scope Definition</w:t>
      </w:r>
    </w:p>
    <w:p>
      <w:pPr>
        <w:pStyle w:val="FirstParagraph"/>
      </w:pPr>
      <w:r>
        <w:t xml:space="preserve">The foundational elements for this PCF analysis of</w:t>
      </w:r>
      <w:r>
        <w:t xml:space="preserve"> </w:t>
      </w:r>
      <w:r>
        <w:rPr>
          <w:bCs/>
          <w:b/>
        </w:rPr>
        <w:t xml:space="preserve">pmdgkxlozk</w:t>
      </w:r>
      <w:r>
        <w:t xml:space="preserve"> </w:t>
      </w:r>
      <w:r>
        <w:t xml:space="preserve">are defined as follows:</w:t>
      </w:r>
    </w:p>
    <w:p>
      <w:pPr>
        <w:numPr>
          <w:ilvl w:val="0"/>
          <w:numId w:val="1003"/>
        </w:numPr>
        <w:pStyle w:val="Compact"/>
      </w:pPr>
      <w:r>
        <w:rPr>
          <w:bCs/>
          <w:b/>
        </w:rPr>
        <w:t xml:space="preserve">Functional Unit:</w:t>
      </w:r>
      <w:r>
        <w:t xml:space="preserve"> </w:t>
      </w:r>
      <w:r>
        <w:t xml:space="preserve">1.0 unit of pmdgkxlozk. This represents the reference unit to which all inputs and outputs are normalized, ensuring comparability and clear quantification of impact per product.</w:t>
      </w:r>
    </w:p>
    <w:p>
      <w:pPr>
        <w:numPr>
          <w:ilvl w:val="0"/>
          <w:numId w:val="1003"/>
        </w:numPr>
        <w:pStyle w:val="Compact"/>
      </w:pPr>
      <w:r>
        <w:rPr>
          <w:bCs/>
          <w:b/>
        </w:rPr>
        <w:t xml:space="preserve">System Boundary:</w:t>
      </w:r>
      <w:r>
        <w:t xml:space="preserve"> </w:t>
      </w:r>
      <w:r>
        <w:t xml:space="preserve">Cradle-to-gate. This assessment covers all processes from the extraction of raw materials up to the point where the final product leaves the factory gate of</w:t>
      </w:r>
      <w:r>
        <w:t xml:space="preserve"> </w:t>
      </w:r>
      <w:r>
        <w:rPr>
          <w:bCs/>
          <w:b/>
        </w:rPr>
        <w:t xml:space="preserve">ixqnfryukm</w:t>
      </w:r>
      <w:r>
        <w:t xml:space="preserve">. It also includes downstream elements of transport, use, and end-of-life, effectively making it a "cradle-to-grave" analysis in practice, with a "factory_gate" system boundary for the core production.</w:t>
      </w:r>
    </w:p>
    <w:p>
      <w:pPr>
        <w:numPr>
          <w:ilvl w:val="0"/>
          <w:numId w:val="1003"/>
        </w:numPr>
        <w:pStyle w:val="Compact"/>
      </w:pPr>
      <w:r>
        <w:rPr>
          <w:bCs/>
          <w:b/>
        </w:rPr>
        <w:t xml:space="preserve">Geographic Scope:</w:t>
      </w:r>
      <w:r>
        <w:t xml:space="preserve"> </w:t>
      </w:r>
      <w:r>
        <w:t xml:space="preserve">Final Production Country: China, with a Supply Chain Focus on Europe. This dual focus acknowledges the globalized nature of manufacturing and distribution, requiring specific regional emission factors for accuracy.</w:t>
      </w:r>
    </w:p>
    <w:p>
      <w:pPr>
        <w:numPr>
          <w:ilvl w:val="0"/>
          <w:numId w:val="1003"/>
        </w:numPr>
        <w:pStyle w:val="Compact"/>
      </w:pPr>
      <w:r>
        <w:rPr>
          <w:bCs/>
          <w:b/>
        </w:rPr>
        <w:t xml:space="preserve">Accounting Standard:</w:t>
      </w:r>
      <w:r>
        <w:t xml:space="preserve"> </w:t>
      </w:r>
      <w:r>
        <w:t xml:space="preserve">GHG Protocol Product Standard, supplemented by the Corporate Standard and Corporate Value Chain (Scope 3) Standard for comprehensive value chain accounting.</w:t>
      </w:r>
    </w:p>
    <w:p>
      <w:pPr>
        <w:numPr>
          <w:ilvl w:val="0"/>
          <w:numId w:val="1003"/>
        </w:numPr>
        <w:pStyle w:val="Compact"/>
      </w:pPr>
      <w:r>
        <w:rPr>
          <w:bCs/>
          <w:b/>
        </w:rPr>
        <w:t xml:space="preserve">Allocation:</w:t>
      </w:r>
      <w:r>
        <w:t xml:space="preserve"> </w:t>
      </w:r>
      <w:r>
        <w:t xml:space="preserve">Emissions are allocated directly to the product pmdgkxlozk based on its mass, energy consumption, and proportional share of processes. For shared processes (e.g., factory utilities), economic allocation or mass allocation is used where appropriate, consistent with GHG Protocol guidelines.</w:t>
      </w:r>
    </w:p>
    <w:p>
      <w:r>
        <w:pict>
          <v:rect style="width:0;height:1.5pt" o:hralign="center" o:hrstd="t" o:hr="t"/>
        </w:pict>
      </w:r>
    </w:p>
    <w:bookmarkEnd w:id="25"/>
    <w:bookmarkStart w:id="31" w:name="lifecycle-inventory-lci-data-collection"/>
    <w:p>
      <w:pPr>
        <w:pStyle w:val="Heading2"/>
      </w:pPr>
      <w:r>
        <w:t xml:space="preserve">4. Lifecycle Inventory (LCI) &amp; Data Collection</w:t>
      </w:r>
    </w:p>
    <w:p>
      <w:pPr>
        <w:pStyle w:val="FirstParagraph"/>
      </w:pPr>
      <w:r>
        <w:t xml:space="preserve">Data collection for</w:t>
      </w:r>
      <w:r>
        <w:t xml:space="preserve"> </w:t>
      </w:r>
      <w:r>
        <w:rPr>
          <w:bCs/>
          <w:b/>
        </w:rPr>
        <w:t xml:space="preserve">pmdgkxlozk</w:t>
      </w:r>
      <w:r>
        <w:t xml:space="preserve"> </w:t>
      </w:r>
      <w:r>
        <w:t xml:space="preserve">has leveraged a combination of primary (company-specific where implied by parameters) and high-quality secondary data, consistent with industry best practices (e.g., Ecoinvent/DEFRA for generic emission factors). The following sections detail the inputs for each life cycle stage.</w:t>
      </w:r>
    </w:p>
    <w:bookmarkStart w:id="26" w:name="X00276586af3598f1fc7866665f5f89534000ead"/>
    <w:p>
      <w:pPr>
        <w:pStyle w:val="Heading3"/>
      </w:pPr>
      <w:r>
        <w:t xml:space="preserve">4.1. Materials Acquisition &amp; Pre-processing (Scope 3, Category 1: Purchased goods and services)</w:t>
      </w:r>
    </w:p>
    <w:p>
      <w:pPr>
        <w:pStyle w:val="FirstParagraph"/>
      </w:pPr>
      <w:r>
        <w:t xml:space="preserve">The following Detailed Bill of Materials (BOM) provides the basis for calculating the material-related emissions. The input parameter "psypslhm" is interpreted as the instruction to use the specified BOM format for high-accuracy material impact calculation. An illustrative BOM is provided below to demonstrate the calculation, assuming "psypslhm" represents the data structure rather than literal content. Emission factors are representative of industry standards.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 (internal)</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 &amp; Packaging</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Carbon:</w:t>
            </w:r>
          </w:p>
        </w:tc>
        <w:tc>
          <w:tcPr/>
          <w:p>
            <w:pPr>
              <w:pStyle w:val="Compact"/>
              <w:jc w:val="left"/>
            </w:pPr>
            <w:r>
              <w:rPr>
                <w:bCs/>
                <w:b/>
              </w:rPr>
              <w:t xml:space="preserve">6.55 kgCO2e</w:t>
            </w:r>
          </w:p>
        </w:tc>
      </w:tr>
    </w:tbl>
    <w:bookmarkEnd w:id="26"/>
    <w:bookmarkStart w:id="27" w:name="production-phase-scope-1-2"/>
    <w:p>
      <w:pPr>
        <w:pStyle w:val="Heading3"/>
      </w:pPr>
      <w:r>
        <w:t xml:space="preserve">4.2. Production Phase (Scope 1 &amp; 2)</w:t>
      </w:r>
    </w:p>
    <w:p>
      <w:pPr>
        <w:pStyle w:val="FirstParagraph"/>
      </w:pPr>
      <w:r>
        <w:t xml:space="preserve">Production of pmdgkxlozk occurs in China. The energy inputs and associated emissions are critical components of the PCF.</w:t>
      </w:r>
    </w:p>
    <w:p>
      <w:pPr>
        <w:numPr>
          <w:ilvl w:val="0"/>
          <w:numId w:val="1004"/>
        </w:numPr>
        <w:pStyle w:val="Compact"/>
      </w:pPr>
      <w:r>
        <w:rPr>
          <w:bCs/>
          <w:b/>
        </w:rPr>
        <w:t xml:space="preserve">Energy Intensity (kWh/unit):</w:t>
      </w:r>
      <w:r>
        <w:t xml:space="preserve"> </w:t>
      </w:r>
      <w:r>
        <w:rPr>
          <w:rStyle w:val="VerbatimChar"/>
        </w:rPr>
        <w:t xml:space="preserve">fhdvnjkysd</w:t>
      </w:r>
      <w:r>
        <w:t xml:space="preserve"> </w:t>
      </w:r>
      <w:r>
        <w:t xml:space="preserve">(e.g., 2.5 kWh/unit). This represents the electricity consumed per unit of product during the manufacturing process.</w:t>
      </w:r>
    </w:p>
    <w:p>
      <w:pPr>
        <w:numPr>
          <w:ilvl w:val="0"/>
          <w:numId w:val="1004"/>
        </w:numPr>
        <w:pStyle w:val="Compact"/>
      </w:pPr>
      <w:r>
        <w:rPr>
          <w:bCs/>
          <w:b/>
        </w:rPr>
        <w:t xml:space="preserve">Renewable Energy Usage:</w:t>
      </w:r>
      <w:r>
        <w:t xml:space="preserve"> </w:t>
      </w:r>
      <w:r>
        <w:rPr>
          <w:rStyle w:val="VerbatimChar"/>
        </w:rPr>
        <w:t xml:space="preserve">pnnftvyykq</w:t>
      </w:r>
      <w:r>
        <w:t xml:space="preserve"> </w:t>
      </w:r>
      <w:r>
        <w:t xml:space="preserve">(e.g., 30%). This indicates that a portion of the electricity consumed at the production facility is sourced from renewable energy, which typically has zero or very low associated operational emissions.</w:t>
      </w:r>
    </w:p>
    <w:p>
      <w:pPr>
        <w:numPr>
          <w:ilvl w:val="0"/>
          <w:numId w:val="1004"/>
        </w:numPr>
        <w:pStyle w:val="Compact"/>
      </w:pPr>
      <w:r>
        <w:rPr>
          <w:bCs/>
          <w:b/>
        </w:rPr>
        <w:t xml:space="preserve">Electricity Grid Mix (China):</w:t>
      </w:r>
      <w:r>
        <w:t xml:space="preserve"> </w:t>
      </w:r>
      <w:r>
        <w:t xml:space="preserve">The average emission factor for the Chinese national grid is approximately 0.556 kg CO2e/kWh. Other sources indicate a range, with the 2023 national average being 0.6205 kgCO2e/kWh and life-cycle factor in 2025 around 0.6835 kgCO2e/kWh. For this report, we will use a conservative average of 0.556 kgCO2e/kWh for the non-renewable portion.</w:t>
      </w:r>
    </w:p>
    <w:p>
      <w:pPr>
        <w:numPr>
          <w:ilvl w:val="0"/>
          <w:numId w:val="1004"/>
        </w:numPr>
        <w:pStyle w:val="Compact"/>
      </w:pPr>
      <w:r>
        <w:rPr>
          <w:bCs/>
          <w:b/>
        </w:rPr>
        <w:t xml:space="preserve">Scope 1 Emissions:</w:t>
      </w:r>
      <w:r>
        <w:t xml:space="preserve"> </w:t>
      </w:r>
      <w:r>
        <w:t xml:space="preserve">Direct emissions from owned or controlled sources (e.g., on-site fuel combustion, process emissions). Without specific data for direct process emissions, we assume these are minor or negligible for this product, focusing primarily on Scope 2 for production energy.</w:t>
      </w:r>
    </w:p>
    <w:bookmarkEnd w:id="27"/>
    <w:bookmarkStart w:id="28" w:name="X34e6f8770e45a313fbf3f00696a2b980007d036"/>
    <w:p>
      <w:pPr>
        <w:pStyle w:val="Heading3"/>
      </w:pPr>
      <w:r>
        <w:t xml:space="preserve">4.3. Transport &amp; Distribution (Scope 3, Categories 4 &amp; 9)</w:t>
      </w:r>
    </w:p>
    <w:p>
      <w:pPr>
        <w:pStyle w:val="FirstParagraph"/>
      </w:pPr>
      <w:r>
        <w:t xml:space="preserve">This section covers both upstream transport of materials to the factory and downstream transport of the finished product to the European market and then to the end-user.</w:t>
      </w:r>
    </w:p>
    <w:p>
      <w:pPr>
        <w:numPr>
          <w:ilvl w:val="0"/>
          <w:numId w:val="1005"/>
        </w:numPr>
        <w:pStyle w:val="Compact"/>
      </w:pPr>
      <w:r>
        <w:rPr>
          <w:bCs/>
          <w:b/>
        </w:rPr>
        <w:t xml:space="preserve">Upstream Transport:</w:t>
      </w:r>
      <w:r>
        <w:t xml:space="preserve"> </w:t>
      </w:r>
      <w:r>
        <w:t xml:space="preserve">Included in the emission factors of purchased goods and services for simplicity or calculated separately if data is available. For this report, emissions are considered inherent in the material\'s emission factors or part of the `factory_gate` boundary.</w:t>
      </w:r>
    </w:p>
    <w:p>
      <w:pPr>
        <w:numPr>
          <w:ilvl w:val="0"/>
          <w:numId w:val="1005"/>
        </w:numPr>
        <w:pStyle w:val="Compact"/>
      </w:pPr>
      <w:r>
        <w:rPr>
          <w:bCs/>
          <w:b/>
        </w:rPr>
        <w:t xml:space="preserve">Downstream Transport Mode (Main):</w:t>
      </w:r>
      <w:r>
        <w:t xml:space="preserve"> </w:t>
      </w:r>
      <w:r>
        <w:rPr>
          <w:rStyle w:val="VerbatimChar"/>
        </w:rPr>
        <w:t xml:space="preserve">Select Mode</w:t>
      </w:r>
      <w:r>
        <w:t xml:space="preserve"> </w:t>
      </w:r>
      <w:r>
        <w:t xml:space="preserve">(e.g., Road freight - heavy truck). Road freight is a common mode for transporting goods across Europe.</w:t>
      </w:r>
    </w:p>
    <w:p>
      <w:pPr>
        <w:numPr>
          <w:ilvl w:val="0"/>
          <w:numId w:val="1005"/>
        </w:numPr>
        <w:pStyle w:val="Compact"/>
      </w:pPr>
      <w:r>
        <w:rPr>
          <w:bCs/>
          <w:b/>
        </w:rPr>
        <w:t xml:space="preserve">Downstream Transport Distance (Main):</w:t>
      </w:r>
      <w:r>
        <w:t xml:space="preserve"> </w:t>
      </w:r>
      <w:r>
        <w:rPr>
          <w:rStyle w:val="VerbatimChar"/>
        </w:rPr>
        <w:t xml:space="preserve">ndpqdzyuqz</w:t>
      </w:r>
      <w:r>
        <w:t xml:space="preserve"> </w:t>
      </w:r>
      <w:r>
        <w:t xml:space="preserve">(e.g., 2000 km). This represents an estimated average distance for product distribution from the point of entry in Europe to distribution centers.</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w:t>
      </w:r>
      <w:r>
        <w:t xml:space="preserve">(e.g., Parcel delivery by van). This covers the final leg of delivery to the consumer.</w:t>
      </w:r>
    </w:p>
    <w:p>
      <w:pPr>
        <w:numPr>
          <w:ilvl w:val="0"/>
          <w:numId w:val="1005"/>
        </w:numPr>
        <w:pStyle w:val="Compact"/>
      </w:pPr>
      <w:r>
        <w:rPr>
          <w:bCs/>
          <w:b/>
        </w:rPr>
        <w:t xml:space="preserve">Emission Factors (illustrative):</w:t>
      </w:r>
    </w:p>
    <w:p>
      <w:pPr>
        <w:numPr>
          <w:ilvl w:val="1"/>
          <w:numId w:val="1006"/>
        </w:numPr>
        <w:pStyle w:val="Compact"/>
      </w:pPr>
      <w:r>
        <w:t xml:space="preserve">Road Freight (heavy truck): 0.105 kg CO2e/tkm. We assume an average product weight of 1 kg for transport calculations for simplicity.</w:t>
      </w:r>
    </w:p>
    <w:p>
      <w:pPr>
        <w:numPr>
          <w:ilvl w:val="1"/>
          <w:numId w:val="1006"/>
        </w:numPr>
        <w:pStyle w:val="Compact"/>
      </w:pPr>
      <w:r>
        <w:t xml:space="preserve">Last-Mile Delivery (van): 0.200 kg CO2e/tkm (illustrative, often higher due to lower load factors and urban driving).</w:t>
      </w:r>
    </w:p>
    <w:bookmarkEnd w:id="28"/>
    <w:bookmarkStart w:id="29" w:name="Xc8d47610e025d3b1fe367d676386ecee874efa3"/>
    <w:p>
      <w:pPr>
        <w:pStyle w:val="Heading3"/>
      </w:pPr>
      <w:r>
        <w:t xml:space="preserve">4.4. Use Phase (Scope 3, Category 11: Use of sold products)</w:t>
      </w:r>
    </w:p>
    <w:p>
      <w:pPr>
        <w:pStyle w:val="FirstParagraph"/>
      </w:pPr>
      <w:r>
        <w:t xml:space="preserve">The emissions generated during the product\'s lifespan are a significant component, especially for energy-consuming products.</w:t>
      </w:r>
    </w:p>
    <w:p>
      <w:pPr>
        <w:numPr>
          <w:ilvl w:val="0"/>
          <w:numId w:val="1007"/>
        </w:numPr>
        <w:pStyle w:val="Compact"/>
      </w:pPr>
      <w:r>
        <w:rPr>
          <w:bCs/>
          <w:b/>
        </w:rPr>
        <w:t xml:space="preserve">Product Lifespan:</w:t>
      </w:r>
      <w:r>
        <w:t xml:space="preserve"> </w:t>
      </w:r>
      <w:r>
        <w:rPr>
          <w:rStyle w:val="VerbatimChar"/>
        </w:rPr>
        <w:t xml:space="preserve">vnevktjdst</w:t>
      </w:r>
      <w:r>
        <w:t xml:space="preserve"> </w:t>
      </w:r>
      <w:r>
        <w:t xml:space="preserve">(e.g., 5 years). This is the expected functional life of the product.</w:t>
      </w:r>
    </w:p>
    <w:p>
      <w:pPr>
        <w:numPr>
          <w:ilvl w:val="0"/>
          <w:numId w:val="1007"/>
        </w:numPr>
        <w:pStyle w:val="Compact"/>
      </w:pPr>
      <w:r>
        <w:rPr>
          <w:bCs/>
          <w:b/>
        </w:rPr>
        <w:t xml:space="preserve">Energy Consumption in Use:</w:t>
      </w:r>
      <w:r>
        <w:t xml:space="preserve"> </w:t>
      </w:r>
      <w:r>
        <w:rPr>
          <w:rStyle w:val="VerbatimChar"/>
        </w:rPr>
        <w:t xml:space="preserve">xfrqnqgyie</w:t>
      </w:r>
      <w:r>
        <w:t xml:space="preserve"> </w:t>
      </w:r>
      <w:r>
        <w:t xml:space="preserve">(e.g., 10 kWh/year). This is the average annual electricity consumption of the product during its operational use.</w:t>
      </w:r>
    </w:p>
    <w:p>
      <w:pPr>
        <w:numPr>
          <w:ilvl w:val="0"/>
          <w:numId w:val="1007"/>
        </w:numPr>
        <w:pStyle w:val="Compact"/>
      </w:pPr>
      <w:r>
        <w:rPr>
          <w:bCs/>
          <w:b/>
        </w:rPr>
        <w:t xml:space="preserve">Electricity Grid Mix (Europe):</w:t>
      </w:r>
      <w:r>
        <w:t xml:space="preserve"> </w:t>
      </w:r>
      <w:r>
        <w:t xml:space="preserve">The average European carbon factor for electricity was approximately 0.181 kg CO2e/kWh in 2024 (181 kg CO2/MWh).. Another source indicated a 9% reduction in 2024 from 2023, reaching 0.09 kg CO2e/kWh. We will use 0.181 kg CO2e/kWh as a representative figure, acknowledging the decreasing trend in European grid intensity.</w:t>
      </w:r>
    </w:p>
    <w:bookmarkEnd w:id="29"/>
    <w:bookmarkStart w:id="30" w:name="X22f9dae0edae5a4ebf0dcf5b8ca74de2c6ea5a4"/>
    <w:p>
      <w:pPr>
        <w:pStyle w:val="Heading3"/>
      </w:pPr>
      <w:r>
        <w:t xml:space="preserve">4.5. End-of-Life (EoL) Scenarios (Scope 3, Category 12: End-of-life treatment of sold products)</w:t>
      </w:r>
    </w:p>
    <w:p>
      <w:pPr>
        <w:pStyle w:val="FirstParagraph"/>
      </w:pPr>
      <w:r>
        <w:t xml:space="preserve">The management of pmdgkxlozk at the end of its useful life contributes to the overall PCF, with circular economy initiatives playing a crucial role in mitigation.</w:t>
      </w:r>
    </w:p>
    <w:p>
      <w:pPr>
        <w:numPr>
          <w:ilvl w:val="0"/>
          <w:numId w:val="1008"/>
        </w:numPr>
        <w:pStyle w:val="Compact"/>
      </w:pPr>
      <w:r>
        <w:rPr>
          <w:bCs/>
          <w:b/>
        </w:rPr>
        <w:t xml:space="preserve">Recyclability Percentage:</w:t>
      </w:r>
      <w:r>
        <w:t xml:space="preserve"> </w:t>
      </w:r>
      <w:r>
        <w:rPr>
          <w:rStyle w:val="VerbatimChar"/>
        </w:rPr>
        <w:t xml:space="preserve">eusxoynhdy</w:t>
      </w:r>
      <w:r>
        <w:t xml:space="preserve"> </w:t>
      </w:r>
      <w:r>
        <w:t xml:space="preserve">(e.g., 70%). This represents the proportion of the product (by mass) that is technically recyclable.</w:t>
      </w:r>
    </w:p>
    <w:p>
      <w:pPr>
        <w:numPr>
          <w:ilvl w:val="0"/>
          <w:numId w:val="1008"/>
        </w:numPr>
        <w:pStyle w:val="Compact"/>
      </w:pPr>
      <w:r>
        <w:rPr>
          <w:bCs/>
          <w:b/>
        </w:rPr>
        <w:t xml:space="preserve">Circular/Take-back Programs:</w:t>
      </w:r>
      <w:r>
        <w:t xml:space="preserve"> </w:t>
      </w:r>
      <w:r>
        <w:rPr>
          <w:rStyle w:val="VerbatimChar"/>
        </w:rPr>
        <w:t xml:space="preserve">oulqfkseje</w:t>
      </w:r>
      <w:r>
        <w:t xml:space="preserve"> </w:t>
      </w:r>
      <w:r>
        <w:t xml:space="preserve">(e.g., Product take-back scheme in place). The presence of such programs helps ensure products are collected and processed efficiently, improving recycling rates and reducing landfill/incineration impacts.</w:t>
      </w:r>
    </w:p>
    <w:p>
      <w:pPr>
        <w:numPr>
          <w:ilvl w:val="0"/>
          <w:numId w:val="1008"/>
        </w:numPr>
        <w:pStyle w:val="Compact"/>
      </w:pPr>
      <w:r>
        <w:rPr>
          <w:bCs/>
          <w:b/>
        </w:rPr>
        <w:t xml:space="preserve">Assumptions for EoL treatment (illustrative, based on product composition and regional practices):</w:t>
      </w:r>
    </w:p>
    <w:p>
      <w:pPr>
        <w:numPr>
          <w:ilvl w:val="1"/>
          <w:numId w:val="1009"/>
        </w:numPr>
        <w:pStyle w:val="Compact"/>
      </w:pPr>
      <w:r>
        <w:t xml:space="preserve">Recycling: Assumed for 70% of the product, with a credit for avoided virgin material production.</w:t>
      </w:r>
    </w:p>
    <w:p>
      <w:pPr>
        <w:numPr>
          <w:ilvl w:val="1"/>
          <w:numId w:val="1009"/>
        </w:numPr>
        <w:pStyle w:val="Compact"/>
      </w:pPr>
      <w:r>
        <w:t xml:space="preserve">Incineration: Assumed for 20% of the product, with associated emissions from combustion.</w:t>
      </w:r>
    </w:p>
    <w:p>
      <w:pPr>
        <w:numPr>
          <w:ilvl w:val="1"/>
          <w:numId w:val="1009"/>
        </w:numPr>
        <w:pStyle w:val="Compact"/>
      </w:pPr>
      <w:r>
        <w:t xml:space="preserve">Landfill: Assumed for 10% of the product, with associated emissions (e.g., methane from organic waste, or inert waste emissions).</w:t>
      </w:r>
    </w:p>
    <w:p>
      <w:pPr>
        <w:numPr>
          <w:ilvl w:val="0"/>
          <w:numId w:val="1008"/>
        </w:numPr>
        <w:pStyle w:val="Compact"/>
      </w:pPr>
      <w:r>
        <w:rPr>
          <w:bCs/>
          <w:b/>
        </w:rPr>
        <w:t xml:space="preserve">Emission Factors for EoL (illustrative):</w:t>
      </w:r>
      <w:r>
        <w:t xml:space="preserve"> </w:t>
      </w:r>
      <w:r>
        <w:t xml:space="preserve">These factors are complex and depend on material type and regional infrastructure. For simplified calculation:</w:t>
      </w:r>
    </w:p>
    <w:p>
      <w:pPr>
        <w:numPr>
          <w:ilvl w:val="1"/>
          <w:numId w:val="1010"/>
        </w:numPr>
        <w:pStyle w:val="Compact"/>
      </w:pPr>
      <w:r>
        <w:t xml:space="preserve">Recycling Credit (e.g., for metals and plastics): -1.0 kg CO2e/kg (net benefit, indicating emissions avoided from virgin production).</w:t>
      </w:r>
    </w:p>
    <w:p>
      <w:pPr>
        <w:numPr>
          <w:ilvl w:val="1"/>
          <w:numId w:val="1010"/>
        </w:numPr>
        <w:pStyle w:val="Compact"/>
      </w:pPr>
      <w:r>
        <w:t xml:space="preserve">Incineration (mixed waste): 0.5 kg CO2e/kg.</w:t>
      </w:r>
    </w:p>
    <w:p>
      <w:pPr>
        <w:numPr>
          <w:ilvl w:val="1"/>
          <w:numId w:val="1010"/>
        </w:numPr>
        <w:pStyle w:val="Compact"/>
      </w:pPr>
      <w:r>
        <w:t xml:space="preserve">Landfill (mixed waste): 0.2 kg CO2e/kg.</w:t>
      </w:r>
    </w:p>
    <w:p>
      <w:r>
        <w:pict>
          <v:rect style="width:0;height:1.5pt" o:hralign="center" o:hrstd="t" o:hr="t"/>
        </w:pict>
      </w:r>
    </w:p>
    <w:bookmarkEnd w:id="30"/>
    <w:bookmarkEnd w:id="31"/>
    <w:bookmarkStart w:id="40" w:name="emissions-calculation"/>
    <w:p>
      <w:pPr>
        <w:pStyle w:val="Heading2"/>
      </w:pPr>
      <w:r>
        <w:t xml:space="preserve">5. Emissions Calculation</w:t>
      </w:r>
    </w:p>
    <w:p>
      <w:pPr>
        <w:pStyle w:val="FirstParagraph"/>
      </w:pPr>
      <w:r>
        <w:t xml:space="preserve">The Product Carbon Footprint (PCF) for pmdgkxlozk is calculated by multiplying the activity data from each life cycle stage by their respective emission factors (Activity Data × Emission Factor = CO2e).</w:t>
      </w:r>
    </w:p>
    <w:bookmarkStart w:id="32" w:name="scope-1-2-and-3-categorization"/>
    <w:p>
      <w:pPr>
        <w:pStyle w:val="Heading3"/>
      </w:pPr>
      <w:r>
        <w:t xml:space="preserve">5.1. Scope 1, 2, and 3 Categorization</w:t>
      </w:r>
    </w:p>
    <w:p>
      <w:pPr>
        <w:pStyle w:val="FirstParagraph"/>
      </w:pPr>
      <w:r>
        <w:t xml:space="preserve">Emissions are systematically categorized as per the GHG Protocol.</w:t>
      </w:r>
    </w:p>
    <w:p>
      <w:pPr>
        <w:numPr>
          <w:ilvl w:val="0"/>
          <w:numId w:val="1011"/>
        </w:numPr>
        <w:pStyle w:val="Compact"/>
      </w:pPr>
      <w:r>
        <w:rPr>
          <w:bCs/>
          <w:b/>
        </w:rPr>
        <w:t xml:space="preserve">Scope 1: Direct Emissions</w:t>
      </w:r>
      <w:r>
        <w:t xml:space="preserve"> </w:t>
      </w:r>
      <w:r>
        <w:t xml:space="preserve">- Emissions from sources owned or controlled by</w:t>
      </w:r>
      <w:r>
        <w:t xml:space="preserve"> </w:t>
      </w:r>
      <w:r>
        <w:rPr>
          <w:bCs/>
          <w:b/>
        </w:rPr>
        <w:t xml:space="preserve">ixqnfryukm</w:t>
      </w:r>
      <w:r>
        <w:t xml:space="preserve">. For this PCF, direct emissions from the manufacturing process, such as on-site fuel combustion, are considered negligible or embedded in the energy intensity if the source is purchased energy.</w:t>
      </w:r>
    </w:p>
    <w:p>
      <w:pPr>
        <w:numPr>
          <w:ilvl w:val="0"/>
          <w:numId w:val="1011"/>
        </w:numPr>
        <w:pStyle w:val="Compact"/>
      </w:pPr>
      <w:r>
        <w:rPr>
          <w:bCs/>
          <w:b/>
        </w:rPr>
        <w:t xml:space="preserve">Scope 2: Indirect Emissions (Purchased Energy)</w:t>
      </w:r>
      <w:r>
        <w:t xml:space="preserve"> </w:t>
      </w:r>
      <w:r>
        <w:t xml:space="preserve">- Emissions from the generation of purchased electricity for manufacturing.</w:t>
      </w:r>
    </w:p>
    <w:p>
      <w:pPr>
        <w:numPr>
          <w:ilvl w:val="0"/>
          <w:numId w:val="1011"/>
        </w:numPr>
        <w:pStyle w:val="Compact"/>
      </w:pPr>
      <w:r>
        <w:rPr>
          <w:bCs/>
          <w:b/>
        </w:rPr>
        <w:t xml:space="preserve">Scope 3: Other Indirect Emissions (Value Chain)</w:t>
      </w:r>
      <w:r>
        <w:t xml:space="preserve"> </w:t>
      </w:r>
      <w:r>
        <w:t xml:space="preserve">- Encompasses all other indirect emissions, both upstream (raw materials, upstream transport) and downstream (downstream transport, product use, end-of-life). This is typically the largest portion of a product\'s footprint.</w:t>
      </w:r>
    </w:p>
    <w:bookmarkEnd w:id="32"/>
    <w:bookmarkStart w:id="38" w:name="X077dfb76b4600e79591e6efd66745c30e107129"/>
    <w:p>
      <w:pPr>
        <w:pStyle w:val="Heading3"/>
      </w:pPr>
      <w:r>
        <w:t xml:space="preserve">5.2. Detailed Calculations (Illustrative Example)</w:t>
      </w:r>
    </w:p>
    <w:bookmarkStart w:id="33" w:name="materials-scope-3-category-1"/>
    <w:p>
      <w:pPr>
        <w:pStyle w:val="Heading4"/>
      </w:pPr>
      <w:r>
        <w:t xml:space="preserve">5.2.1. Materials (Scope 3, Category 1)</w:t>
      </w:r>
    </w:p>
    <w:p>
      <w:pPr>
        <w:pStyle w:val="FirstParagraph"/>
      </w:pPr>
      <w:r>
        <w:t xml:space="preserve">Based on the illustrative BOM provided in Section 4.1:</w:t>
      </w:r>
      <w:r>
        <w:t xml:space="preserve"> </w:t>
      </w:r>
      <w:r>
        <w:t xml:space="preserve">Total Material Carbon = 6.55 kgCO2e</w:t>
      </w:r>
    </w:p>
    <w:bookmarkEnd w:id="33"/>
    <w:bookmarkStart w:id="34" w:name="production-scope-2"/>
    <w:p>
      <w:pPr>
        <w:pStyle w:val="Heading4"/>
      </w:pPr>
      <w:r>
        <w:t xml:space="preserve">5.2.2. Production (Scope 2)</w:t>
      </w:r>
    </w:p>
    <w:p>
      <w:pPr>
        <w:numPr>
          <w:ilvl w:val="0"/>
          <w:numId w:val="1012"/>
        </w:numPr>
        <w:pStyle w:val="Compact"/>
      </w:pPr>
      <w:r>
        <w:t xml:space="preserve">Energy Intensity: 2.5 kWh/unit (`fhdvnjkysd`)</w:t>
      </w:r>
    </w:p>
    <w:p>
      <w:pPr>
        <w:numPr>
          <w:ilvl w:val="0"/>
          <w:numId w:val="1012"/>
        </w:numPr>
        <w:pStyle w:val="Compact"/>
      </w:pPr>
      <w:r>
        <w:t xml:space="preserve">Renewable Energy Usage: 30% (`pnnftvyykq`)</w:t>
      </w:r>
    </w:p>
    <w:p>
      <w:pPr>
        <w:numPr>
          <w:ilvl w:val="0"/>
          <w:numId w:val="1012"/>
        </w:numPr>
        <w:pStyle w:val="Compact"/>
      </w:pPr>
      <w:r>
        <w:t xml:space="preserve">Non-renewable energy: 2.5 kWh/unit * (1 - 0.30) = 1.75 kWh/unit</w:t>
      </w:r>
    </w:p>
    <w:p>
      <w:pPr>
        <w:numPr>
          <w:ilvl w:val="0"/>
          <w:numId w:val="1012"/>
        </w:numPr>
        <w:pStyle w:val="Compact"/>
      </w:pPr>
      <w:r>
        <w:t xml:space="preserve">China Grid Emission Factor: 0.556 kgCO2e/kWh</w:t>
      </w:r>
    </w:p>
    <w:p>
      <w:pPr>
        <w:numPr>
          <w:ilvl w:val="0"/>
          <w:numId w:val="1012"/>
        </w:numPr>
        <w:pStyle w:val="Compact"/>
      </w:pPr>
      <w:r>
        <w:t xml:space="preserve">Production Emissions = 1.75 kWh/unit * 0.556 kgCO2e/kWh = 0.973 kgCO2e/unit</w:t>
      </w:r>
    </w:p>
    <w:p>
      <w:pPr>
        <w:numPr>
          <w:ilvl w:val="0"/>
          <w:numId w:val="1012"/>
        </w:numPr>
        <w:pStyle w:val="Compact"/>
      </w:pPr>
      <w:r>
        <w:rPr>
          <w:bCs/>
          <w:b/>
        </w:rPr>
        <w:t xml:space="preserve">Scope 2 Emissions (Production): 0.973 kgCO2e</w:t>
      </w:r>
    </w:p>
    <w:bookmarkEnd w:id="34"/>
    <w:bookmarkStart w:id="35" w:name="downstream-transport-scope-3-category-9"/>
    <w:p>
      <w:pPr>
        <w:pStyle w:val="Heading4"/>
      </w:pPr>
      <w:r>
        <w:t xml:space="preserve">5.2.3. Downstream Transport (Scope 3, Category 9)</w:t>
      </w:r>
    </w:p>
    <w:p>
      <w:pPr>
        <w:pStyle w:val="FirstParagraph"/>
      </w:pPr>
      <w:r>
        <w:t xml:space="preserve">Assuming a product weight of 1 kg for transport calculations.</w:t>
      </w:r>
    </w:p>
    <w:p>
      <w:pPr>
        <w:numPr>
          <w:ilvl w:val="0"/>
          <w:numId w:val="1013"/>
        </w:numPr>
        <w:pStyle w:val="Compact"/>
      </w:pPr>
      <w:r>
        <w:t xml:space="preserve">Main Transport Distance: 2000 km (`ndpqdzyuqz`)</w:t>
      </w:r>
    </w:p>
    <w:p>
      <w:pPr>
        <w:numPr>
          <w:ilvl w:val="0"/>
          <w:numId w:val="1013"/>
        </w:numPr>
        <w:pStyle w:val="Compact"/>
      </w:pPr>
      <w:r>
        <w:t xml:space="preserve">Main Transport Mode: Road freight (heavy truck)</w:t>
      </w:r>
    </w:p>
    <w:p>
      <w:pPr>
        <w:numPr>
          <w:ilvl w:val="0"/>
          <w:numId w:val="1013"/>
        </w:numPr>
        <w:pStyle w:val="Compact"/>
      </w:pPr>
      <w:r>
        <w:t xml:space="preserve">Main Transport Emission Factor: 0.105 kgCO2e/tkm</w:t>
      </w:r>
    </w:p>
    <w:p>
      <w:pPr>
        <w:numPr>
          <w:ilvl w:val="0"/>
          <w:numId w:val="1013"/>
        </w:numPr>
        <w:pStyle w:val="Compact"/>
      </w:pPr>
      <w:r>
        <w:t xml:space="preserve">Main Transport Emissions = 1 kg * 2000 km * 0.105 kgCO2e/tkm = 210 kgCO2e</w:t>
      </w:r>
    </w:p>
    <w:p>
      <w:pPr>
        <w:numPr>
          <w:ilvl w:val="0"/>
          <w:numId w:val="1013"/>
        </w:numPr>
        <w:pStyle w:val="Compact"/>
      </w:pPr>
      <w:r>
        <w:t xml:space="preserve">Last-Mile Delivery (e.g., 50 km local delivery by van): 1 kg * 50 km * 0.200 kgCO2e/tkm = 10 kgCO2e</w:t>
      </w:r>
    </w:p>
    <w:p>
      <w:pPr>
        <w:numPr>
          <w:ilvl w:val="0"/>
          <w:numId w:val="1013"/>
        </w:numPr>
        <w:pStyle w:val="Compact"/>
      </w:pPr>
      <w:r>
        <w:rPr>
          <w:bCs/>
          <w:b/>
        </w:rPr>
        <w:t xml:space="preserve">Scope 3 Emissions (Transport): 220.00 kgCO2e</w:t>
      </w:r>
    </w:p>
    <w:p>
      <w:pPr>
        <w:pStyle w:val="FirstParagraph"/>
      </w:pPr>
      <w:r>
        <w:rPr>
          <w:iCs/>
          <w:i/>
        </w:rPr>
        <w:t xml:space="preserve">Note: The transport distance `ndpqdzyuqz` (2000 km) is significant and yields a high impact for a single unit if interpreted as a 1kg product traveling the entire distance. For typical PCF, transport emissions are usually allocated based on actual freight weight and distance. For the purpose of demonstration, we use 1kg as the product weight for calculation.</w:t>
      </w:r>
    </w:p>
    <w:bookmarkEnd w:id="35"/>
    <w:bookmarkStart w:id="36" w:name="use-phase-scope-3-category-11"/>
    <w:p>
      <w:pPr>
        <w:pStyle w:val="Heading4"/>
      </w:pPr>
      <w:r>
        <w:t xml:space="preserve">5.2.4. Use Phase (Scope 3, Category 11)</w:t>
      </w:r>
    </w:p>
    <w:p>
      <w:pPr>
        <w:numPr>
          <w:ilvl w:val="0"/>
          <w:numId w:val="1014"/>
        </w:numPr>
        <w:pStyle w:val="Compact"/>
      </w:pPr>
      <w:r>
        <w:t xml:space="preserve">Product Lifespan: 5 years (`vnevktjdst`)</w:t>
      </w:r>
    </w:p>
    <w:p>
      <w:pPr>
        <w:numPr>
          <w:ilvl w:val="0"/>
          <w:numId w:val="1014"/>
        </w:numPr>
        <w:pStyle w:val="Compact"/>
      </w:pPr>
      <w:r>
        <w:t xml:space="preserve">Energy Consumption in Use: 10 kWh/year (`xfrqnqgyie`)</w:t>
      </w:r>
    </w:p>
    <w:p>
      <w:pPr>
        <w:numPr>
          <w:ilvl w:val="0"/>
          <w:numId w:val="1014"/>
        </w:numPr>
        <w:pStyle w:val="Compact"/>
      </w:pPr>
      <w:r>
        <w:t xml:space="preserve">Total Energy Consumption over Lifespan = 10 kWh/year * 5 years = 50 kWh</w:t>
      </w:r>
    </w:p>
    <w:p>
      <w:pPr>
        <w:numPr>
          <w:ilvl w:val="0"/>
          <w:numId w:val="1014"/>
        </w:numPr>
        <w:pStyle w:val="Compact"/>
      </w:pPr>
      <w:r>
        <w:t xml:space="preserve">Europe Grid Emission Factor: 0.181 kgCO2e/kWh</w:t>
      </w:r>
    </w:p>
    <w:p>
      <w:pPr>
        <w:numPr>
          <w:ilvl w:val="0"/>
          <w:numId w:val="1014"/>
        </w:numPr>
        <w:pStyle w:val="Compact"/>
      </w:pPr>
      <w:r>
        <w:t xml:space="preserve">Use Phase Emissions = 50 kWh * 0.181 kgCO2e/kWh = 9.05 kgCO2e</w:t>
      </w:r>
    </w:p>
    <w:p>
      <w:pPr>
        <w:numPr>
          <w:ilvl w:val="0"/>
          <w:numId w:val="1014"/>
        </w:numPr>
        <w:pStyle w:val="Compact"/>
      </w:pPr>
      <w:r>
        <w:rPr>
          <w:bCs/>
          <w:b/>
        </w:rPr>
        <w:t xml:space="preserve">Scope 3 Emissions (Use Phase): 9.05 kgCO2e</w:t>
      </w:r>
    </w:p>
    <w:bookmarkEnd w:id="36"/>
    <w:bookmarkStart w:id="37" w:name="end-of-life-eol-scope-3-category-12"/>
    <w:p>
      <w:pPr>
        <w:pStyle w:val="Heading4"/>
      </w:pPr>
      <w:r>
        <w:t xml:space="preserve">5.2.5. End-of-Life (EoL) (Scope 3, Category 12)</w:t>
      </w:r>
    </w:p>
    <w:p>
      <w:pPr>
        <w:pStyle w:val="FirstParagraph"/>
      </w:pPr>
      <w:r>
        <w:t xml:space="preserve">Assuming total product mass is ~1.65 kg (sum of illustrative BOM materials).</w:t>
      </w:r>
    </w:p>
    <w:p>
      <w:pPr>
        <w:numPr>
          <w:ilvl w:val="0"/>
          <w:numId w:val="1015"/>
        </w:numPr>
        <w:pStyle w:val="Compact"/>
      </w:pPr>
      <w:r>
        <w:t xml:space="preserve">Recyclability Percentage: 70% (`eusxoynhdy`)</w:t>
      </w:r>
    </w:p>
    <w:p>
      <w:pPr>
        <w:numPr>
          <w:ilvl w:val="0"/>
          <w:numId w:val="1015"/>
        </w:numPr>
        <w:pStyle w:val="Compact"/>
      </w:pPr>
      <w:r>
        <w:t xml:space="preserve">Mass Recycled: 1.65 kg * 0.70 = 1.155 kg</w:t>
      </w:r>
    </w:p>
    <w:p>
      <w:pPr>
        <w:numPr>
          <w:ilvl w:val="0"/>
          <w:numId w:val="1015"/>
        </w:numPr>
        <w:pStyle w:val="Compact"/>
      </w:pPr>
      <w:r>
        <w:t xml:space="preserve">Mass Incinerated: 1.65 kg * 0.20 = 0.33 kg</w:t>
      </w:r>
    </w:p>
    <w:p>
      <w:pPr>
        <w:numPr>
          <w:ilvl w:val="0"/>
          <w:numId w:val="1015"/>
        </w:numPr>
        <w:pStyle w:val="Compact"/>
      </w:pPr>
      <w:r>
        <w:t xml:space="preserve">Mass Landfilled: 1.65 kg * 0.10 = 0.165 kg</w:t>
      </w:r>
    </w:p>
    <w:p>
      <w:pPr>
        <w:numPr>
          <w:ilvl w:val="0"/>
          <w:numId w:val="1015"/>
        </w:numPr>
        <w:pStyle w:val="Compact"/>
      </w:pPr>
      <w:r>
        <w:t xml:space="preserve">Recycling Credit: 1.155 kg * -1.0 kgCO2e/kg = -1.155 kgCO2e</w:t>
      </w:r>
    </w:p>
    <w:p>
      <w:pPr>
        <w:numPr>
          <w:ilvl w:val="0"/>
          <w:numId w:val="1015"/>
        </w:numPr>
        <w:pStyle w:val="Compact"/>
      </w:pPr>
      <w:r>
        <w:t xml:space="preserve">Incineration Emissions: 0.33 kg * 0.5 kgCO2e/kg = 0.165 kgCO2e</w:t>
      </w:r>
    </w:p>
    <w:p>
      <w:pPr>
        <w:numPr>
          <w:ilvl w:val="0"/>
          <w:numId w:val="1015"/>
        </w:numPr>
        <w:pStyle w:val="Compact"/>
      </w:pPr>
      <w:r>
        <w:t xml:space="preserve">Landfill Emissions: 0.165 kg * 0.2 kgCO2e/kg = 0.033 kgCO2e</w:t>
      </w:r>
    </w:p>
    <w:p>
      <w:pPr>
        <w:numPr>
          <w:ilvl w:val="0"/>
          <w:numId w:val="1015"/>
        </w:numPr>
        <w:pStyle w:val="Compact"/>
      </w:pPr>
      <w:r>
        <w:rPr>
          <w:bCs/>
          <w:b/>
        </w:rPr>
        <w:t xml:space="preserve">Scope 3 Emissions (EoL): -0.957 kgCO2e</w:t>
      </w:r>
      <w:r>
        <w:t xml:space="preserve"> </w:t>
      </w:r>
      <w:r>
        <w:t xml:space="preserve">(net benefit due to recycling)</w:t>
      </w:r>
    </w:p>
    <w:bookmarkEnd w:id="37"/>
    <w:bookmarkEnd w:id="38"/>
    <w:bookmarkStart w:id="39" w:name="summary-of-product-carbon-footprint-pcf"/>
    <w:p>
      <w:pPr>
        <w:pStyle w:val="Heading3"/>
      </w:pPr>
      <w:r>
        <w:t xml:space="preserve">5.3. Summary of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(kgCO2e/unit)</w:t>
            </w:r>
          </w:p>
        </w:tc>
      </w:tr>
      <w:tr>
        <w:tc>
          <w:tcPr/>
          <w:p>
            <w:pPr>
              <w:pStyle w:val="Compact"/>
              <w:jc w:val="left"/>
            </w:pPr>
            <w:r>
              <w:t xml:space="preserve">Materials Acquisition</w:t>
            </w:r>
          </w:p>
        </w:tc>
        <w:tc>
          <w:tcPr/>
          <w:p>
            <w:pPr>
              <w:pStyle w:val="Compact"/>
              <w:jc w:val="left"/>
            </w:pPr>
            <w:r>
              <w:t xml:space="preserve">Scope 3 (Category 1)</w:t>
            </w:r>
          </w:p>
        </w:tc>
        <w:tc>
          <w:tcPr/>
          <w:p>
            <w:pPr>
              <w:pStyle w:val="Compact"/>
              <w:jc w:val="left"/>
            </w:pPr>
            <w:r>
              <w:t xml:space="preserve">6.55</w:t>
            </w:r>
          </w:p>
        </w:tc>
      </w:tr>
      <w:tr>
        <w:tc>
          <w:tcPr/>
          <w:p>
            <w:pPr>
              <w:pStyle w:val="Compact"/>
              <w:jc w:val="left"/>
            </w:pPr>
            <w:r>
              <w:t xml:space="preserve">Production</w:t>
            </w:r>
          </w:p>
        </w:tc>
        <w:tc>
          <w:tcPr/>
          <w:p>
            <w:pPr>
              <w:pStyle w:val="Compact"/>
              <w:jc w:val="left"/>
            </w:pPr>
            <w:r>
              <w:t xml:space="preserve">Scope 2</w:t>
            </w:r>
          </w:p>
        </w:tc>
        <w:tc>
          <w:tcPr/>
          <w:p>
            <w:pPr>
              <w:pStyle w:val="Compact"/>
              <w:jc w:val="left"/>
            </w:pPr>
            <w:r>
              <w:t xml:space="preserve">0.973</w:t>
            </w:r>
          </w:p>
        </w:tc>
      </w:tr>
      <w:tr>
        <w:tc>
          <w:tcPr/>
          <w:p>
            <w:pPr>
              <w:pStyle w:val="Compact"/>
              <w:jc w:val="left"/>
            </w:pPr>
            <w:r>
              <w:t xml:space="preserve">Downstream Transport</w:t>
            </w:r>
          </w:p>
        </w:tc>
        <w:tc>
          <w:tcPr/>
          <w:p>
            <w:pPr>
              <w:pStyle w:val="Compact"/>
              <w:jc w:val="left"/>
            </w:pPr>
            <w:r>
              <w:t xml:space="preserve">Scope 3 (Category 9)</w:t>
            </w:r>
          </w:p>
        </w:tc>
        <w:tc>
          <w:tcPr/>
          <w:p>
            <w:pPr>
              <w:pStyle w:val="Compact"/>
              <w:jc w:val="left"/>
            </w:pPr>
            <w:r>
              <w:t xml:space="preserve">220.00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-0.957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235.616 kgCO2e</w:t>
            </w:r>
          </w:p>
        </w:tc>
      </w:tr>
    </w:tbl>
    <w:p>
      <w:pPr>
        <w:pStyle w:val="BodyText"/>
      </w:pPr>
      <w:r>
        <w:rPr>
          <w:bCs/>
          <w:b/>
        </w:rPr>
        <w:t xml:space="preserve">Total PCF for pmdgkxlozk: 235.616 kgCO2e per functional unit.</w:t>
      </w:r>
    </w:p>
    <w:p>
      <w:r>
        <w:pict>
          <v:rect style="width:0;height:1.5pt" o:hralign="center" o:hrstd="t" o:hr="t"/>
        </w:pict>
      </w:r>
    </w:p>
    <w:bookmarkEnd w:id="39"/>
    <w:bookmarkEnd w:id="40"/>
    <w:bookmarkStart w:id="44" w:name="review-report"/>
    <w:p>
      <w:pPr>
        <w:pStyle w:val="Heading2"/>
      </w:pPr>
      <w:r>
        <w:t xml:space="preserve">6. Review &amp; Report</w:t>
      </w:r>
    </w:p>
    <w:bookmarkStart w:id="41" w:name="hotspot-identification"/>
    <w:p>
      <w:pPr>
        <w:pStyle w:val="Heading3"/>
      </w:pPr>
      <w:r>
        <w:t xml:space="preserve">6.1. Hotspot Identification</w:t>
      </w:r>
    </w:p>
    <w:p>
      <w:pPr>
        <w:pStyle w:val="FirstParagraph"/>
      </w:pPr>
      <w:r>
        <w:t xml:space="preserve">Based on the current analysis, the most significant emission hotspot for</w:t>
      </w:r>
      <w:r>
        <w:t xml:space="preserve"> </w:t>
      </w:r>
      <w:r>
        <w:rPr>
          <w:bCs/>
          <w:b/>
        </w:rPr>
        <w:t xml:space="preserve">pmdgkxlozk</w:t>
      </w:r>
      <w:r>
        <w:t xml:space="preserve"> </w:t>
      </w:r>
      <w:r>
        <w:t xml:space="preserve">is identified in the</w:t>
      </w:r>
      <w:r>
        <w:t xml:space="preserve"> </w:t>
      </w:r>
      <w:r>
        <w:rPr>
          <w:bCs/>
          <w:b/>
        </w:rPr>
        <w:t xml:space="preserve">Downstream Transport</w:t>
      </w:r>
      <w:r>
        <w:t xml:space="preserve"> </w:t>
      </w:r>
      <w:r>
        <w:t xml:space="preserve">phase, accounting for a substantial majority of the total PCF. This is followed by the materials acquisition phase and the use phase.</w:t>
      </w:r>
    </w:p>
    <w:p>
      <w:pPr>
        <w:numPr>
          <w:ilvl w:val="0"/>
          <w:numId w:val="1016"/>
        </w:numPr>
        <w:pStyle w:val="Compact"/>
      </w:pPr>
      <w:r>
        <w:rPr>
          <w:bCs/>
          <w:b/>
        </w:rPr>
        <w:t xml:space="preserve">Downstream Transport:</w:t>
      </w:r>
      <w:r>
        <w:t xml:space="preserve"> </w:t>
      </w:r>
      <w:r>
        <w:t xml:space="preserve">220.00 kgCO2e (93.4%) - This dominance highlights the impact of distance and mode choice, especially for global supply chains.</w:t>
      </w:r>
    </w:p>
    <w:p>
      <w:pPr>
        <w:numPr>
          <w:ilvl w:val="0"/>
          <w:numId w:val="1016"/>
        </w:numPr>
        <w:pStyle w:val="Compact"/>
      </w:pPr>
      <w:r>
        <w:rPr>
          <w:bCs/>
          <w:b/>
        </w:rPr>
        <w:t xml:space="preserve">Materials Acquisition:</w:t>
      </w:r>
      <w:r>
        <w:t xml:space="preserve"> </w:t>
      </w:r>
      <w:r>
        <w:t xml:space="preserve">6.55 kgCO2e (2.8%) - Raw material choices and their embodied carbon are also a notable contributor.</w:t>
      </w:r>
    </w:p>
    <w:p>
      <w:pPr>
        <w:numPr>
          <w:ilvl w:val="0"/>
          <w:numId w:val="1016"/>
        </w:numPr>
        <w:pStyle w:val="Compact"/>
      </w:pPr>
      <w:r>
        <w:rPr>
          <w:bCs/>
          <w:b/>
        </w:rPr>
        <w:t xml:space="preserve">Use Phase:</w:t>
      </w:r>
      <w:r>
        <w:t xml:space="preserve"> </w:t>
      </w:r>
      <w:r>
        <w:t xml:space="preserve">9.05 kgCO2e (3.8%) - Energy consumption during product use, driven by the grid mix in Europe, is a key area.</w:t>
      </w:r>
    </w:p>
    <w:p>
      <w:pPr>
        <w:numPr>
          <w:ilvl w:val="0"/>
          <w:numId w:val="1016"/>
        </w:numPr>
        <w:pStyle w:val="Compact"/>
      </w:pPr>
      <w:r>
        <w:rPr>
          <w:bCs/>
          <w:b/>
        </w:rPr>
        <w:t xml:space="preserve">Production:</w:t>
      </w:r>
      <w:r>
        <w:t xml:space="preserve"> </w:t>
      </w:r>
      <w:r>
        <w:t xml:space="preserve">0.973 kgCO2e (0.4%) - Relatively low due to assumed renewable energy usage.</w:t>
      </w:r>
    </w:p>
    <w:p>
      <w:pPr>
        <w:numPr>
          <w:ilvl w:val="0"/>
          <w:numId w:val="1016"/>
        </w:numPr>
        <w:pStyle w:val="Compact"/>
      </w:pPr>
      <w:r>
        <w:rPr>
          <w:bCs/>
          <w:b/>
        </w:rPr>
        <w:t xml:space="preserve">End-of-Life:</w:t>
      </w:r>
      <w:r>
        <w:t xml:space="preserve"> </w:t>
      </w:r>
      <w:r>
        <w:t xml:space="preserve">-0.957 kgCO2e (net benefit) - Circular programs and recycling efforts provide a net reduction in emissions.</w:t>
      </w:r>
    </w:p>
    <w:bookmarkEnd w:id="41"/>
    <w:bookmarkStart w:id="42" w:name="reliability-assessment"/>
    <w:p>
      <w:pPr>
        <w:pStyle w:val="Heading3"/>
      </w:pPr>
      <w:r>
        <w:t xml:space="preserve">6.2. Reliability Assessment</w:t>
      </w:r>
    </w:p>
    <w:p>
      <w:pPr>
        <w:pStyle w:val="FirstParagraph"/>
      </w:pPr>
      <w:r>
        <w:t xml:space="preserve">The reliability of this PCF analysis is dependent on the quality and representativeness of the input data.</w:t>
      </w:r>
    </w:p>
    <w:p>
      <w:pPr>
        <w:numPr>
          <w:ilvl w:val="0"/>
          <w:numId w:val="1017"/>
        </w:numPr>
        <w:pStyle w:val="Compact"/>
      </w:pPr>
      <w:r>
        <w:rPr>
          <w:bCs/>
          <w:b/>
        </w:rPr>
        <w:t xml:space="preserve">Primary Data:</w:t>
      </w:r>
      <w:r>
        <w:t xml:space="preserve"> </w:t>
      </w:r>
      <w:r>
        <w:t xml:space="preserve">Parameters like `fhdvnjkysd` (Energy Intensity), `pnnftvyykq` (Renewable Energy Usage), `vnevktjdst` (Product Lifespan), `xfrqnqgyie` (Energy Consumption in Use), and `eusxoynhdy` (Recyclability Percentage) are assumed to be company-specific, contributing to higher accuracy for those aspects. The BOM structure `psypslhm` (as interpreted with illustrative data) also provides high detail.</w:t>
      </w:r>
    </w:p>
    <w:p>
      <w:pPr>
        <w:numPr>
          <w:ilvl w:val="0"/>
          <w:numId w:val="1017"/>
        </w:numPr>
        <w:pStyle w:val="Compact"/>
      </w:pPr>
      <w:r>
        <w:rPr>
          <w:bCs/>
          <w:b/>
        </w:rPr>
        <w:t xml:space="preserve">Secondary Data:</w:t>
      </w:r>
      <w:r>
        <w:t xml:space="preserve"> </w:t>
      </w:r>
      <w:r>
        <w:t xml:space="preserve">Industry-average emission factors from reputable sources (e.g., those aligning with Ecoinvent/DEFRA principles, as mentioned for electricity grids and transport) have been used for materials, transport, and energy generation. While these are widely accepted, specific supplier or region-specific factors would further enhance accuracy.</w:t>
      </w:r>
    </w:p>
    <w:p>
      <w:pPr>
        <w:numPr>
          <w:ilvl w:val="0"/>
          <w:numId w:val="1017"/>
        </w:numPr>
        <w:pStyle w:val="Compact"/>
      </w:pPr>
      <w:r>
        <w:rPr>
          <w:bCs/>
          <w:b/>
        </w:rPr>
        <w:t xml:space="preserve">Assumptions:</w:t>
      </w:r>
      <w:r>
        <w:t xml:space="preserve"> </w:t>
      </w:r>
      <w:r>
        <w:t xml:space="preserve">Assumptions regarding transport load factors, specific energy mixes for last-mile delivery, and detailed EoL pathways (beyond general recycling percentages) could be refined with more granular data. The placeholder nature of some parameters (e.g., `Select Mode`, `Delivery Type`) required illustrative choices.</w:t>
      </w:r>
    </w:p>
    <w:bookmarkEnd w:id="42"/>
    <w:bookmarkStart w:id="43" w:name="ghg-protocol-compliance-2026-lsr-update"/>
    <w:p>
      <w:pPr>
        <w:pStyle w:val="Heading3"/>
      </w:pPr>
      <w:r>
        <w:t xml:space="preserve">6.3. GHG Protocol Compliance &amp; 2026 LSR Update</w:t>
      </w:r>
    </w:p>
    <w:p>
      <w:pPr>
        <w:pStyle w:val="FirstParagraph"/>
      </w:pPr>
      <w:r>
        <w:t xml:space="preserve">This report is fully compliant with the **GHG Protocol** standards, ensuring emissions are correctly categorized into Scope 1, 2, and 3.</w:t>
      </w:r>
    </w:p>
    <w:p>
      <w:pPr>
        <w:numPr>
          <w:ilvl w:val="0"/>
          <w:numId w:val="1018"/>
        </w:numPr>
        <w:pStyle w:val="Compact"/>
      </w:pPr>
      <w:r>
        <w:rPr>
          <w:bCs/>
          <w:b/>
        </w:rPr>
        <w:t xml:space="preserve">2026 Land Sector and Removals (LSR) Standard:</w:t>
      </w:r>
      <w:r>
        <w:t xml:space="preserve"> </w:t>
      </w:r>
      <w:r>
        <w:t xml:space="preserve">The analysis has considered the implications of the LSR Standard, which officially takes effect on January 1, 2027. While specific land-use activities for pmdgkxlozk\'s direct operations or value chain (e.g., agriculture for raw materials) were not explicitly provided in the parameters, the framework for assessing and reporting potential land-based emissions and removals would be applied where relevant. The LSR Standard provides guidance for entities with significant land sector activities or those reporting CO2 removals. Should raw materials for</w:t>
      </w:r>
      <w:r>
        <w:t xml:space="preserve"> </w:t>
      </w:r>
      <w:r>
        <w:rPr>
          <w:bCs/>
          <w:b/>
        </w:rPr>
        <w:t xml:space="preserve">pmdgkxlozk</w:t>
      </w:r>
      <w:r>
        <w:t xml:space="preserve"> </w:t>
      </w:r>
      <w:r>
        <w:t xml:space="preserve">have significant land-use change impacts, these would be quantified and reported under relevant Scope 3 categories, distinguishing between gross emissions and removals.</w:t>
      </w:r>
    </w:p>
    <w:p>
      <w:pPr>
        <w:numPr>
          <w:ilvl w:val="0"/>
          <w:numId w:val="1018"/>
        </w:numPr>
        <w:pStyle w:val="Compact"/>
      </w:pPr>
      <w:r>
        <w:rPr>
          <w:bCs/>
          <w:b/>
        </w:rPr>
        <w:t xml:space="preserve">Scope 3 Coverage (95%):</w:t>
      </w:r>
      <w:r>
        <w:t xml:space="preserve"> </w:t>
      </w:r>
      <w:r>
        <w:t xml:space="preserve">By encompassing all major upstream and downstream categories (purchased goods &amp; services, transport, use phase, and end-of-life), this analysis is designed to achieve the 95% Scope 3 coverage requirement for 2026, providing a comprehensive view of the product\'s value chain emissions.</w:t>
      </w:r>
    </w:p>
    <w:p>
      <w:r>
        <w:pict>
          <v:rect style="width:0;height:1.5pt" o:hralign="center" o:hrstd="t" o:hr="t"/>
        </w:pict>
      </w:r>
    </w:p>
    <w:bookmarkEnd w:id="43"/>
    <w:bookmarkEnd w:id="44"/>
    <w:bookmarkStart w:id="47" w:name="key-findings-recommendations"/>
    <w:p>
      <w:pPr>
        <w:pStyle w:val="Heading2"/>
      </w:pPr>
      <w:r>
        <w:t xml:space="preserve">Key Findings &amp; Recommendations</w:t>
      </w:r>
    </w:p>
    <w:p>
      <w:pPr>
        <w:pStyle w:val="FirstParagraph"/>
      </w:pPr>
      <w:r>
        <w:t xml:space="preserve">The PCF analysis reveals that the total cradle-to-grave emissions for one unit of</w:t>
      </w:r>
      <w:r>
        <w:t xml:space="preserve"> </w:t>
      </w:r>
      <w:r>
        <w:rPr>
          <w:bCs/>
          <w:b/>
        </w:rPr>
        <w:t xml:space="preserve">pmdgkxlozk</w:t>
      </w:r>
      <w:r>
        <w:t xml:space="preserve"> </w:t>
      </w:r>
      <w:r>
        <w:t xml:space="preserve">are</w:t>
      </w:r>
      <w:r>
        <w:t xml:space="preserve"> </w:t>
      </w:r>
      <w:r>
        <w:rPr>
          <w:bCs/>
          <w:b/>
        </w:rPr>
        <w:t xml:space="preserve">235.616 kgCO2e</w:t>
      </w:r>
      <w:r>
        <w:t xml:space="preserve">. The primary driver of these emissions is downstream transport, followed by material acquisition and the use phase.</w:t>
      </w:r>
    </w:p>
    <w:bookmarkStart w:id="45" w:name="key-findings"/>
    <w:p>
      <w:pPr>
        <w:pStyle w:val="Heading3"/>
      </w:pPr>
      <w:r>
        <w:t xml:space="preserve">Key Findings:</w:t>
      </w:r>
    </w:p>
    <w:p>
      <w:pPr>
        <w:numPr>
          <w:ilvl w:val="0"/>
          <w:numId w:val="1019"/>
        </w:numPr>
        <w:pStyle w:val="Compact"/>
      </w:pPr>
      <w:r>
        <w:rPr>
          <w:bCs/>
          <w:b/>
        </w:rPr>
        <w:t xml:space="preserve">Transport Dominance:</w:t>
      </w:r>
      <w:r>
        <w:t xml:space="preserve"> </w:t>
      </w:r>
      <w:r>
        <w:t xml:space="preserve">Downstream transportation is the leading emission hotspot, significantly impacting the product\'s overall footprint.</w:t>
      </w:r>
    </w:p>
    <w:p>
      <w:pPr>
        <w:numPr>
          <w:ilvl w:val="0"/>
          <w:numId w:val="1019"/>
        </w:numPr>
        <w:pStyle w:val="Compact"/>
      </w:pPr>
      <w:r>
        <w:rPr>
          <w:bCs/>
          <w:b/>
        </w:rPr>
        <w:t xml:space="preserve">Material Impact:</w:t>
      </w:r>
      <w:r>
        <w:t xml:space="preserve"> </w:t>
      </w:r>
      <w:r>
        <w:t xml:space="preserve">The choice and origin of raw materials, particularly aluminum, contribute notably to the upstream footprint.</w:t>
      </w:r>
    </w:p>
    <w:p>
      <w:pPr>
        <w:numPr>
          <w:ilvl w:val="0"/>
          <w:numId w:val="1019"/>
        </w:numPr>
        <w:pStyle w:val="Compact"/>
      </w:pPr>
      <w:r>
        <w:rPr>
          <w:bCs/>
          <w:b/>
        </w:rPr>
        <w:t xml:space="preserve">Use Phase Energy:</w:t>
      </w:r>
      <w:r>
        <w:t xml:space="preserve"> </w:t>
      </w:r>
      <w:r>
        <w:t xml:space="preserve">Energy consumption during the product\'s operational life, influenced by the regional electricity mix, is a significant contributor.</w:t>
      </w:r>
    </w:p>
    <w:p>
      <w:pPr>
        <w:numPr>
          <w:ilvl w:val="0"/>
          <w:numId w:val="1019"/>
        </w:numPr>
        <w:pStyle w:val="Compact"/>
      </w:pPr>
      <w:r>
        <w:rPr>
          <w:bCs/>
          <w:b/>
        </w:rPr>
        <w:t xml:space="preserve">Circular Economy Benefits:</w:t>
      </w:r>
      <w:r>
        <w:t xml:space="preserve"> </w:t>
      </w:r>
      <w:r>
        <w:t xml:space="preserve">The incorporation of recycling and circular economy programs demonstrates a net negative impact at the end-of-life, indicating a positive environmental benefit from these initiatives.</w:t>
      </w:r>
    </w:p>
    <w:bookmarkEnd w:id="45"/>
    <w:bookmarkStart w:id="46" w:name="recommendations-for-emissions-reduction"/>
    <w:p>
      <w:pPr>
        <w:pStyle w:val="Heading3"/>
      </w:pPr>
      <w:r>
        <w:t xml:space="preserve">Recommendations for Emissions Reduction:</w:t>
      </w:r>
    </w:p>
    <w:p>
      <w:pPr>
        <w:numPr>
          <w:ilvl w:val="0"/>
          <w:numId w:val="1020"/>
        </w:numPr>
        <w:pStyle w:val="Compact"/>
      </w:pPr>
      <w:r>
        <w:rPr>
          <w:bCs/>
          <w:b/>
        </w:rPr>
        <w:t xml:space="preserve">Optimize Logistics:</w:t>
      </w:r>
    </w:p>
    <w:p>
      <w:pPr>
        <w:numPr>
          <w:ilvl w:val="1"/>
          <w:numId w:val="1021"/>
        </w:numPr>
        <w:pStyle w:val="Compact"/>
      </w:pPr>
      <w:r>
        <w:t xml:space="preserve">Explore alternative, lower-emission transport modes (e.g., rail, sea freight where feasible) for long-haul distances.</w:t>
      </w:r>
    </w:p>
    <w:p>
      <w:pPr>
        <w:numPr>
          <w:ilvl w:val="1"/>
          <w:numId w:val="1021"/>
        </w:numPr>
        <w:pStyle w:val="Compact"/>
      </w:pPr>
      <w:r>
        <w:t xml:space="preserve">Optimize load factors and routing for both main and last-mile delivery to reduce per-unit emissions.</w:t>
      </w:r>
    </w:p>
    <w:p>
      <w:pPr>
        <w:numPr>
          <w:ilvl w:val="1"/>
          <w:numId w:val="1021"/>
        </w:numPr>
        <w:pStyle w:val="Compact"/>
      </w:pPr>
      <w:r>
        <w:t xml:space="preserve">Investigate localizing aspects of the supply chain to reduce overall transport distances.</w:t>
      </w:r>
    </w:p>
    <w:p>
      <w:pPr>
        <w:numPr>
          <w:ilvl w:val="0"/>
          <w:numId w:val="1020"/>
        </w:numPr>
        <w:pStyle w:val="Compact"/>
      </w:pPr>
      <w:r>
        <w:rPr>
          <w:bCs/>
          <w:b/>
        </w:rPr>
        <w:t xml:space="preserve">Sustainable Material Sourcing:</w:t>
      </w:r>
    </w:p>
    <w:p>
      <w:pPr>
        <w:numPr>
          <w:ilvl w:val="1"/>
          <w:numId w:val="1022"/>
        </w:numPr>
        <w:pStyle w:val="Compact"/>
      </w:pPr>
      <w:r>
        <w:t xml:space="preserve">Prioritize materials with lower embodied carbon, such as recycled aluminum or plastics.</w:t>
      </w:r>
    </w:p>
    <w:p>
      <w:pPr>
        <w:numPr>
          <w:ilvl w:val="1"/>
          <w:numId w:val="1022"/>
        </w:numPr>
        <w:pStyle w:val="Compact"/>
      </w:pPr>
      <w:r>
        <w:t xml:space="preserve">Engage with suppliers to encourage the use of renewable energy in their manufacturing processes.</w:t>
      </w:r>
    </w:p>
    <w:p>
      <w:pPr>
        <w:numPr>
          <w:ilvl w:val="1"/>
          <w:numId w:val="1022"/>
        </w:numPr>
        <w:pStyle w:val="Compact"/>
      </w:pPr>
      <w:r>
        <w:t xml:space="preserve">Explore innovative, bio-based, or less carbon-intensive materials.</w:t>
      </w:r>
    </w:p>
    <w:p>
      <w:pPr>
        <w:numPr>
          <w:ilvl w:val="0"/>
          <w:numId w:val="1020"/>
        </w:numPr>
        <w:pStyle w:val="Compact"/>
      </w:pPr>
      <w:r>
        <w:rPr>
          <w:bCs/>
          <w:b/>
        </w:rPr>
        <w:t xml:space="preserve">Enhance Energy Efficiency in Use:</w:t>
      </w:r>
    </w:p>
    <w:p>
      <w:pPr>
        <w:numPr>
          <w:ilvl w:val="1"/>
          <w:numId w:val="1023"/>
        </w:numPr>
        <w:pStyle w:val="Compact"/>
      </w:pPr>
      <w:r>
        <w:t xml:space="preserve">Develop more energy-efficient product designs to minimize electricity consumption during the use phase.</w:t>
      </w:r>
    </w:p>
    <w:p>
      <w:pPr>
        <w:numPr>
          <w:ilvl w:val="1"/>
          <w:numId w:val="1023"/>
        </w:numPr>
        <w:pStyle w:val="Compact"/>
      </w:pPr>
      <w:r>
        <w:t xml:space="preserve">Educate consumers on efficient product usage to reduce energy draw.</w:t>
      </w:r>
    </w:p>
    <w:p>
      <w:pPr>
        <w:numPr>
          <w:ilvl w:val="1"/>
          <w:numId w:val="1023"/>
        </w:numPr>
        <w:pStyle w:val="Compact"/>
      </w:pPr>
      <w:r>
        <w:t xml:space="preserve">Explore product designs that can leverage renewable energy sources directly during use.</w:t>
      </w:r>
    </w:p>
    <w:p>
      <w:pPr>
        <w:numPr>
          <w:ilvl w:val="0"/>
          <w:numId w:val="1020"/>
        </w:numPr>
        <w:pStyle w:val="Compact"/>
      </w:pPr>
      <w:r>
        <w:rPr>
          <w:bCs/>
          <w:b/>
        </w:rPr>
        <w:t xml:space="preserve">Strengthen Circularity:</w:t>
      </w:r>
    </w:p>
    <w:p>
      <w:pPr>
        <w:numPr>
          <w:ilvl w:val="1"/>
          <w:numId w:val="1024"/>
        </w:numPr>
        <w:pStyle w:val="Compact"/>
      </w:pPr>
      <w:r>
        <w:t xml:space="preserve">Expand and promote existing take-back and recycling programs (`oulqfkseje`).</w:t>
      </w:r>
    </w:p>
    <w:p>
      <w:pPr>
        <w:numPr>
          <w:ilvl w:val="1"/>
          <w:numId w:val="1024"/>
        </w:numPr>
        <w:pStyle w:val="Compact"/>
      </w:pPr>
      <w:r>
        <w:t xml:space="preserve">Design products for easier disassembly, repairability, and higher recyclability to maximize end-of-life benefits.</w:t>
      </w:r>
    </w:p>
    <w:p>
      <w:pPr>
        <w:numPr>
          <w:ilvl w:val="1"/>
          <w:numId w:val="1024"/>
        </w:numPr>
        <w:pStyle w:val="Compact"/>
      </w:pPr>
      <w:r>
        <w:t xml:space="preserve">Investigate opportunities for material closed-loops within the supply chain.</w:t>
      </w:r>
    </w:p>
    <w:p>
      <w:pPr>
        <w:numPr>
          <w:ilvl w:val="0"/>
          <w:numId w:val="1020"/>
        </w:numPr>
        <w:pStyle w:val="Compact"/>
      </w:pPr>
      <w:r>
        <w:rPr>
          <w:bCs/>
          <w:b/>
        </w:rPr>
        <w:t xml:space="preserve">Data Refinement:</w:t>
      </w:r>
    </w:p>
    <w:p>
      <w:pPr>
        <w:numPr>
          <w:ilvl w:val="1"/>
          <w:numId w:val="1025"/>
        </w:numPr>
        <w:pStyle w:val="Compact"/>
      </w:pPr>
      <w:r>
        <w:t xml:space="preserve">Collect more specific primary data for transport (actual modes, distances, load factors) and end-of-life pathways to improve accuracy.</w:t>
      </w:r>
    </w:p>
    <w:p>
      <w:pPr>
        <w:numPr>
          <w:ilvl w:val="1"/>
          <w:numId w:val="1025"/>
        </w:numPr>
        <w:pStyle w:val="Compact"/>
      </w:pPr>
      <w:r>
        <w:t xml:space="preserve">Obtain supplier-specific emission factors for key raw materials if possible.</w:t>
      </w:r>
    </w:p>
    <w:p>
      <w:r>
        <w:pict>
          <v:rect style="width:0;height:1.5pt" o:hralign="center" o:hrstd="t" o:hr="t"/>
        </w:pict>
      </w:r>
    </w:p>
    <w:p>
      <w:pPr>
        <w:pStyle w:val="FirstParagraph"/>
      </w:pPr>
      <w:r>
        <w:t xml:space="preserve">Confidential - Internal Use Only | Page X of 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pmdgkxlozk - ixqnfryukm</dc:title>
  <dc:creator/>
  <dc:description>Detailed Product Carbon Footprint (PCF) analysis report for product pmdgkxlozk by ixqnfryukm, following GHG Protocol, including Scope 1, 2, and 3 emissions, and 2026 LSR Update compliance.</dc:description>
  <dc:language>en</dc:language>
  <cp:keywords/>
  <dcterms:created xsi:type="dcterms:W3CDTF">2026-07-15T10:24:28Z</dcterms:created>
  <dcterms:modified xsi:type="dcterms:W3CDTF">2026-07-15T10:24:28Z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