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pkntnvuvuy</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pkntnvuvuy</w:t>
      </w:r>
    </w:p>
    <w:p>
      <w:pPr>
        <w:pStyle w:val="BodyText"/>
      </w:pPr>
      <w:r>
        <w:rPr>
          <w:bCs/>
          <w:b/>
        </w:rPr>
        <w:t xml:space="preserve">Company:</w:t>
      </w:r>
      <w:r>
        <w:t xml:space="preserve"> </w:t>
      </w:r>
      <w:r>
        <w:t xml:space="preserve">dgqurshvzq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lpldwlpxsz</w:t>
      </w:r>
    </w:p>
    <w:p>
      <w:pPr>
        <w:pStyle w:val="BodyText"/>
      </w:pPr>
      <w:r>
        <w:t xml:space="preserve">This report is generated based on available data and industry standards. While every effort has been made to ensure accuracy, specific values may vary based on real-world conditions and data availability.</w:t>
      </w:r>
    </w:p>
    <w:bookmarkEnd w:id="20"/>
    <w:bookmarkStart w:id="21" w:name="X5598359d5ff746b6a645186a79373e2baafbbe6"/>
    <w:p>
      <w:pPr>
        <w:pStyle w:val="Heading1"/>
      </w:pPr>
      <w:r>
        <w:t xml:space="preserve">Product Carbon Footprint Report for pkntnvuvuy</w:t>
      </w:r>
    </w:p>
    <w:p>
      <w:pPr>
        <w:pStyle w:val="FirstParagraph"/>
      </w:pPr>
      <w:r>
        <w:t xml:space="preserve">Generated Date: May 19, 2026</w:t>
      </w:r>
    </w:p>
    <w:p>
      <w:pPr>
        <w:pStyle w:val="BodyText"/>
      </w:pPr>
      <w:r>
        <w:t xml:space="preserve">Consultant: lpldwlpxsz,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pkntnvuvuy</w:t>
      </w:r>
      <w:r>
        <w:t xml:space="preserve">, manufactured by</w:t>
      </w:r>
      <w:r>
        <w:t xml:space="preserve"> </w:t>
      </w:r>
      <w:r>
        <w:t xml:space="preserve">dgqurshvzq</w:t>
      </w:r>
      <w:r>
        <w:t xml:space="preserve">. Conducted by</w:t>
      </w:r>
      <w:r>
        <w:t xml:space="preserve"> </w:t>
      </w:r>
      <w:r>
        <w:t xml:space="preserve">lpldwlpxsz</w:t>
      </w:r>
      <w:r>
        <w:t xml:space="preserve">, Senior Sustainability Consultant, this analysis adheres to the</w:t>
      </w:r>
      <w:r>
        <w:t xml:space="preserve"> </w:t>
      </w:r>
      <w:r>
        <w:t xml:space="preserve">GHG Protocol</w:t>
      </w:r>
      <w:r>
        <w:t xml:space="preserve"> </w:t>
      </w:r>
      <w:r>
        <w:t xml:space="preserve">standards, incorporating the latest 2026 Land Sector and Removals (LSR) update and ensuring at least 95% coverage for Scope 3 emissions. The study quantifies greenhouse gas (GHG) emissions across the product\'s lifecycle, from material acquisition to end-of-life, with a primary focus on the factory-gate emissions and an expanded view to include use-phase and end-of-life impacts. Key hotspots are identified, and recommendations are provided to enhance the product\'s environmental performance.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foundational parameters for the Product Carbon Footprint analysis, ensuring clarity and consistency in the assessment.</w:t>
      </w:r>
    </w:p>
    <w:p>
      <w:pPr>
        <w:numPr>
          <w:ilvl w:val="0"/>
          <w:numId w:val="1001"/>
        </w:numPr>
        <w:pStyle w:val="Compact"/>
      </w:pPr>
      <w:r>
        <w:rPr>
          <w:bCs/>
          <w:b/>
        </w:rPr>
        <w:t xml:space="preserve">Functional Unit:</w:t>
      </w:r>
      <w:r>
        <w:t xml:space="preserve"> </w:t>
      </w:r>
      <w:r>
        <w:t xml:space="preserve">The reference flow for this analysis is defined as</w:t>
      </w:r>
      <w:r>
        <w:t xml:space="preserve"> </w:t>
      </w:r>
      <w:r>
        <w:t xml:space="preserve">1.0 unit</w:t>
      </w:r>
      <w:r>
        <w:t xml:space="preserve"> </w:t>
      </w:r>
      <w:r>
        <w:t xml:space="preserve">of pkntnvuvuy, providing a standardized basis for quantification and comparison.</w:t>
      </w:r>
    </w:p>
    <w:p>
      <w:pPr>
        <w:numPr>
          <w:ilvl w:val="0"/>
          <w:numId w:val="1001"/>
        </w:numPr>
        <w:pStyle w:val="Compact"/>
      </w:pPr>
      <w:r>
        <w:rPr>
          <w:bCs/>
          <w:b/>
        </w:rPr>
        <w:t xml:space="preserve">System Boundary:</w:t>
      </w:r>
      <w:r>
        <w:t xml:space="preserve"> </w:t>
      </w:r>
      <w:r>
        <w:t xml:space="preserve">The system boundary for this PCF is defined as "cradle-to-grave". While the primary focus for production emissions is "factory_gate" (covering raw material extraction, manufacturing, and transportation to the factory gate), the analysis extends to include downstream stages such as product distribution, the use phase, and end-of-life treatment, as mandated by the detailed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indicates that raw material sourcing, intermediate processing, and distribution channels within Europe are given particular attention, influencing transport and energy emission factors).</w:t>
      </w:r>
    </w:p>
    <w:p>
      <w:pPr>
        <w:numPr>
          <w:ilvl w:val="0"/>
          <w:numId w:val="1001"/>
        </w:numPr>
        <w:pStyle w:val="Compact"/>
      </w:pPr>
      <w:r>
        <w:rPr>
          <w:bCs/>
          <w:b/>
        </w:rPr>
        <w:t xml:space="preserve">Accounting Standard:</w:t>
      </w:r>
      <w:r>
        <w:t xml:space="preserve"> </w:t>
      </w:r>
      <w:r>
        <w:t xml:space="preserve">The analysis strictly follows the</w:t>
      </w:r>
      <w:r>
        <w:t xml:space="preserve"> </w:t>
      </w:r>
      <w:r>
        <w:t xml:space="preserve">GHG Protocol Product Standard</w:t>
      </w:r>
      <w:r>
        <w:t xml:space="preserve">. Emissions are categorized into Scope 1 (direct emissions), Scope 2 (indirect emissions from purchased energy), and Scope 3 (all other indirect emissions across the value chain). This report also acknowledges and applies the</w:t>
      </w:r>
      <w:r>
        <w:t xml:space="preserve"> </w:t>
      </w:r>
      <w:r>
        <w:t xml:space="preserve">2026 Land Sector and Removals (LSR) Standard</w:t>
      </w:r>
      <w:r>
        <w:t xml:space="preserve"> </w:t>
      </w:r>
      <w:r>
        <w:t xml:space="preserve">for land use and carbon removals where applicable in the supply chain data.</w:t>
      </w:r>
    </w:p>
    <w:p>
      <w:pPr>
        <w:numPr>
          <w:ilvl w:val="0"/>
          <w:numId w:val="1001"/>
        </w:numPr>
        <w:pStyle w:val="Compact"/>
      </w:pPr>
      <w:r>
        <w:rPr>
          <w:bCs/>
          <w:b/>
        </w:rPr>
        <w:t xml:space="preserve">Allocation:</w:t>
      </w:r>
      <w:r>
        <w:t xml:space="preserve"> </w:t>
      </w:r>
      <w:r>
        <w:t xml:space="preserve">Where co-products or by-products occur, emissions are allocated based on physical parameters (e.g., mass) or economic value, following GHG Protocol guidance. For recycling, the "recycled content" approach is generally applied, with avoided emissions calculated for end-of-life recycling.</w:t>
      </w:r>
    </w:p>
    <w:p>
      <w:pPr>
        <w:numPr>
          <w:ilvl w:val="0"/>
          <w:numId w:val="1001"/>
        </w:numPr>
        <w:pStyle w:val="Compact"/>
      </w:pPr>
      <w:r>
        <w:rPr>
          <w:bCs/>
          <w:b/>
        </w:rPr>
        <w:t xml:space="preserve">Scope 3 Compliance:</w:t>
      </w:r>
      <w:r>
        <w:t xml:space="preserve"> </w:t>
      </w:r>
      <w:r>
        <w:t xml:space="preserve">This analysis aims to achieve at least</w:t>
      </w:r>
      <w:r>
        <w:t xml:space="preserve"> </w:t>
      </w:r>
      <w:r>
        <w:t xml:space="preserve">95% coverage</w:t>
      </w:r>
      <w:r>
        <w:t xml:space="preserve"> </w:t>
      </w:r>
      <w:r>
        <w:t xml:space="preserve">for Scope 3 reporting, in line with 2026 requirements, by comprehensively addressing relevant upstream and downstream categories.</w:t>
      </w:r>
    </w:p>
    <w:p>
      <w:r>
        <w:pict>
          <v:rect style="width:0;height:1.5pt" o:hralign="center" o:hrstd="t" o:hr="t"/>
        </w:pict>
      </w:r>
    </w:p>
    <w:bookmarkEnd w:id="23"/>
    <w:bookmarkStart w:id="30"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t xml:space="preserve">pkntnvuvuy</w:t>
      </w:r>
      <w:r>
        <w:t xml:space="preserve"> </w:t>
      </w:r>
      <w:r>
        <w:t xml:space="preserve">has been mapped into several key stages, and data has been collected from both primary (provided parameters) and secondary (industry-standard emission factors) sources.</w:t>
      </w:r>
    </w:p>
    <w:bookmarkStart w:id="25" w:name="X21daebf6e2e89221eedd09a950314a91b715c95"/>
    <w:p>
      <w:pPr>
        <w:pStyle w:val="Heading3"/>
      </w:pPr>
      <w:r>
        <w:t xml:space="preserve">2.1. Material Acquisition and Pre-processing (Upstream - Scope 3)</w:t>
      </w:r>
    </w:p>
    <w:p>
      <w:pPr>
        <w:pStyle w:val="FirstParagraph"/>
      </w:pPr>
      <w:r>
        <w:t xml:space="preserve">The detailed Bill of Materials (BOM) for pkntnvuvuy forms the basis for calculating the carbon footprint of materials. The provided "Total Carbon" values for each BOM item are directly utilized for high-accuracy material impact calculation.</w:t>
      </w:r>
    </w:p>
    <w:bookmarkStart w:id="24" w:name="detailed-bill-of-materials-bom-fiqjiref"/>
    <w:p>
      <w:pPr>
        <w:pStyle w:val="Heading4"/>
      </w:pPr>
      <w:r>
        <w:t xml:space="preserve">Detailed Bill of Materials (BOM): fiqjiref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t xml:space="preserve">Total Raw Material Weight:</w:t>
      </w:r>
      <w:r>
        <w:t xml:space="preserve"> </w:t>
      </w:r>
      <w:r>
        <w:t xml:space="preserve">0.50 + 0.20 + 0.10 + 0.05 = 0.85 kg.</w:t>
      </w:r>
    </w:p>
    <w:bookmarkEnd w:id="24"/>
    <w:bookmarkEnd w:id="25"/>
    <w:bookmarkStart w:id="26" w:name="X065724292e97754f285f7c22d41be653402a906"/>
    <w:p>
      <w:pPr>
        <w:pStyle w:val="Heading3"/>
      </w:pPr>
      <w:r>
        <w:t xml:space="preserve">2.2. Manufacturing (Core Production - Scope 1, Scope 2, Scope 3)</w:t>
      </w:r>
    </w:p>
    <w:p>
      <w:pPr>
        <w:pStyle w:val="FirstParagraph"/>
      </w:pPr>
      <w:r>
        <w:t xml:space="preserve">This stage covers the energy consumption during the production processes at the factory in China.</w:t>
      </w:r>
    </w:p>
    <w:p>
      <w:pPr>
        <w:numPr>
          <w:ilvl w:val="0"/>
          <w:numId w:val="1003"/>
        </w:numPr>
        <w:pStyle w:val="Compact"/>
      </w:pPr>
      <w:r>
        <w:rPr>
          <w:bCs/>
          <w:b/>
        </w:rPr>
        <w:t xml:space="preserve">Energy Intensity (kWh/unit):</w:t>
      </w:r>
      <w:r>
        <w:t xml:space="preserve"> </w:t>
      </w:r>
      <w:r>
        <w:t xml:space="preserve">fnhujklkxx</w:t>
      </w:r>
      <w:r>
        <w:t xml:space="preserve"> </w:t>
      </w:r>
      <w:r>
        <w:t xml:space="preserve">= 10 kWh/unit</w:t>
      </w:r>
    </w:p>
    <w:p>
      <w:pPr>
        <w:numPr>
          <w:ilvl w:val="0"/>
          <w:numId w:val="1003"/>
        </w:numPr>
        <w:pStyle w:val="Compact"/>
      </w:pPr>
      <w:r>
        <w:rPr>
          <w:bCs/>
          <w:b/>
        </w:rPr>
        <w:t xml:space="preserve">Renewable Energy Usage:</w:t>
      </w:r>
      <w:r>
        <w:t xml:space="preserve"> </w:t>
      </w:r>
      <w:r>
        <w:t xml:space="preserve">vorjjsiuzy</w:t>
      </w:r>
      <w:r>
        <w:t xml:space="preserve"> </w:t>
      </w:r>
      <w:r>
        <w:t xml:space="preserve">= 50%</w:t>
      </w:r>
    </w:p>
    <w:p>
      <w:pPr>
        <w:numPr>
          <w:ilvl w:val="0"/>
          <w:numId w:val="1003"/>
        </w:numPr>
        <w:pStyle w:val="Compact"/>
      </w:pPr>
      <w:r>
        <w:rPr>
          <w:bCs/>
          <w:b/>
        </w:rPr>
        <w:t xml:space="preserve">Non-Renewable Energy Usage:</w:t>
      </w:r>
      <w:r>
        <w:t xml:space="preserve"> </w:t>
      </w:r>
      <w:r>
        <w:t xml:space="preserve">10 kWh/unit * (1 - 0.50) = 5 kWh/unit</w:t>
      </w:r>
    </w:p>
    <w:p>
      <w:pPr>
        <w:numPr>
          <w:ilvl w:val="0"/>
          <w:numId w:val="1003"/>
        </w:numPr>
        <w:pStyle w:val="Compact"/>
      </w:pPr>
      <w:r>
        <w:rPr>
          <w:bCs/>
          <w:b/>
        </w:rPr>
        <w:t xml:space="preserve">Grid Electricity Emission Factor (China, illustrative):</w:t>
      </w:r>
      <w:r>
        <w:t xml:space="preserve"> </w:t>
      </w:r>
      <w:r>
        <w:t xml:space="preserve">0.6 kgCO2e/kWh</w:t>
      </w:r>
    </w:p>
    <w:p>
      <w:pPr>
        <w:pStyle w:val="FirstParagraph"/>
      </w:pPr>
      <w:r>
        <w:t xml:space="preserve">Direct emissions from on-site fuel combustion (Scope 1) are considered negligible for this product\'s manufacturing process based on typical industry profiles, unless specific data indicates otherwise.</w:t>
      </w:r>
    </w:p>
    <w:bookmarkEnd w:id="26"/>
    <w:bookmarkStart w:id="27" w:name="X1465d3a87cbc412930a06f85b3297753391a2e8"/>
    <w:p>
      <w:pPr>
        <w:pStyle w:val="Heading3"/>
      </w:pPr>
      <w:r>
        <w:t xml:space="preserve">2.3. Transport and Distribution (Upstream &amp; Downstream - Scope 3)</w:t>
      </w:r>
    </w:p>
    <w:p>
      <w:pPr>
        <w:pStyle w:val="FirstParagraph"/>
      </w:pPr>
      <w:r>
        <w:t xml:space="preserve">Logistics data, including mode, distance, and last-mile delivery, are integrated into the supply chain analysis.</w:t>
      </w:r>
    </w:p>
    <w:p>
      <w:pPr>
        <w:numPr>
          <w:ilvl w:val="0"/>
          <w:numId w:val="1004"/>
        </w:numPr>
        <w:pStyle w:val="Compact"/>
      </w:pPr>
      <w:r>
        <w:rPr>
          <w:bCs/>
          <w:b/>
        </w:rPr>
        <w:t xml:space="preserve">Upstream Transport (Materials to Factory):</w:t>
      </w:r>
      <w:r>
        <w:t xml:space="preserve"> </w:t>
      </w:r>
      <w:r>
        <w:t xml:space="preserve">Assumed to be primarily Road Freight for average inbound material journey.</w:t>
      </w:r>
    </w:p>
    <w:p>
      <w:pPr>
        <w:numPr>
          <w:ilvl w:val="1"/>
          <w:numId w:val="1005"/>
        </w:numPr>
        <w:pStyle w:val="Compact"/>
      </w:pPr>
      <w:r>
        <w:rPr>
          <w:bCs/>
          <w:b/>
        </w:rPr>
        <w:t xml:space="preserve">Assumed Average Distance:</w:t>
      </w:r>
      <w:r>
        <w:t xml:space="preserve"> </w:t>
      </w:r>
      <w:r>
        <w:t xml:space="preserve">1000 km</w:t>
      </w:r>
    </w:p>
    <w:p>
      <w:pPr>
        <w:numPr>
          <w:ilvl w:val="1"/>
          <w:numId w:val="1005"/>
        </w:numPr>
        <w:pStyle w:val="Compact"/>
      </w:pPr>
      <w:r>
        <w:rPr>
          <w:bCs/>
          <w:b/>
        </w:rPr>
        <w:t xml:space="preserve">Assumed Transport Mode:</w:t>
      </w:r>
      <w:r>
        <w:t xml:space="preserve"> </w:t>
      </w:r>
      <w:r>
        <w:t xml:space="preserve">Road Freight</w:t>
      </w:r>
    </w:p>
    <w:p>
      <w:pPr>
        <w:numPr>
          <w:ilvl w:val="1"/>
          <w:numId w:val="1005"/>
        </w:numPr>
        <w:pStyle w:val="Compact"/>
      </w:pPr>
      <w:r>
        <w:rPr>
          <w:bCs/>
          <w:b/>
        </w:rPr>
        <w:t xml:space="preserve">Road Freight Emission Factor (Illustrative):</w:t>
      </w:r>
      <w:r>
        <w:t xml:space="preserve"> </w:t>
      </w:r>
      <w:r>
        <w:t xml:space="preserve">0.1 kgCO2e/tonne-km</w:t>
      </w:r>
    </w:p>
    <w:p>
      <w:pPr>
        <w:numPr>
          <w:ilvl w:val="0"/>
          <w:numId w:val="1004"/>
        </w:numPr>
        <w:pStyle w:val="Compact"/>
      </w:pPr>
      <w:r>
        <w:rPr>
          <w:bCs/>
          <w:b/>
        </w:rPr>
        <w:t xml:space="preserve">Downstream Transport (Factory to Consumer):</w:t>
      </w:r>
      <w:r>
        <w:t xml:space="preserve"> </w:t>
      </w:r>
      <w:r>
        <w:t xml:space="preserve">Covers primary distribution and last-mile delivery.</w:t>
      </w:r>
    </w:p>
    <w:p>
      <w:pPr>
        <w:numPr>
          <w:ilvl w:val="1"/>
          <w:numId w:val="1006"/>
        </w:numPr>
        <w:pStyle w:val="Compact"/>
      </w:pPr>
      <w:r>
        <w:rPr>
          <w:bCs/>
          <w:b/>
        </w:rPr>
        <w:t xml:space="preserve">Primary Transport Distance:</w:t>
      </w:r>
      <w:r>
        <w:t xml:space="preserve"> </w:t>
      </w:r>
      <w:r>
        <w:t xml:space="preserve">eoiesnlvgn</w:t>
      </w:r>
      <w:r>
        <w:t xml:space="preserve"> </w:t>
      </w:r>
      <w:r>
        <w:t xml:space="preserve">= 1200 km</w:t>
      </w:r>
    </w:p>
    <w:p>
      <w:pPr>
        <w:numPr>
          <w:ilvl w:val="1"/>
          <w:numId w:val="1006"/>
        </w:numPr>
        <w:pStyle w:val="Compact"/>
      </w:pPr>
      <w:r>
        <w:rPr>
          <w:bCs/>
          <w:b/>
        </w:rPr>
        <w:t xml:space="preserve">Primary Transport Mode:</w:t>
      </w:r>
      <w:r>
        <w:t xml:space="preserve"> </w:t>
      </w:r>
      <w:r>
        <w:t xml:space="preserve">Select Mode</w:t>
      </w:r>
      <w:r>
        <w:t xml:space="preserve"> </w:t>
      </w:r>
      <w:r>
        <w:t xml:space="preserve">(assumed Road Freight for Europe-focused supply chain)</w:t>
      </w:r>
    </w:p>
    <w:p>
      <w:pPr>
        <w:numPr>
          <w:ilvl w:val="1"/>
          <w:numId w:val="1006"/>
        </w:numPr>
        <w:pStyle w:val="Compact"/>
      </w:pPr>
      <w:r>
        <w:rPr>
          <w:bCs/>
          <w:b/>
        </w:rPr>
        <w:t xml:space="preserve">Last-Mile Delivery Channel:</w:t>
      </w:r>
      <w:r>
        <w:t xml:space="preserve"> </w:t>
      </w:r>
      <w:r>
        <w:t xml:space="preserve">Delivery Type</w:t>
      </w:r>
      <w:r>
        <w:t xml:space="preserve"> </w:t>
      </w:r>
      <w:r>
        <w:t xml:space="preserve">(assumed Parcel Delivery)</w:t>
      </w:r>
    </w:p>
    <w:p>
      <w:pPr>
        <w:numPr>
          <w:ilvl w:val="1"/>
          <w:numId w:val="1006"/>
        </w:numPr>
        <w:pStyle w:val="Compact"/>
      </w:pPr>
      <w:r>
        <w:rPr>
          <w:bCs/>
          <w:b/>
        </w:rPr>
        <w:t xml:space="preserve">Assumed Last-Mile Distance:</w:t>
      </w:r>
      <w:r>
        <w:t xml:space="preserve"> </w:t>
      </w:r>
      <w:r>
        <w:t xml:space="preserve">50 km (average for parcel delivery)</w:t>
      </w:r>
    </w:p>
    <w:p>
      <w:pPr>
        <w:numPr>
          <w:ilvl w:val="1"/>
          <w:numId w:val="1006"/>
        </w:numPr>
        <w:pStyle w:val="Compact"/>
      </w:pPr>
      <w:r>
        <w:rPr>
          <w:bCs/>
          <w:b/>
        </w:rPr>
        <w:t xml:space="preserve">Parcel Delivery Emission Factor (Illustrative):</w:t>
      </w:r>
      <w:r>
        <w:t xml:space="preserve"> </w:t>
      </w:r>
      <w:r>
        <w:t xml:space="preserve">0.005 kgCO2e/km/small parcel</w:t>
      </w:r>
    </w:p>
    <w:bookmarkEnd w:id="27"/>
    <w:bookmarkStart w:id="28" w:name="use-phase-downstream---scope-3"/>
    <w:p>
      <w:pPr>
        <w:pStyle w:val="Heading3"/>
      </w:pPr>
      <w:r>
        <w:t xml:space="preserve">2.4. Use Phase (Downstream - Scope 3)</w:t>
      </w:r>
    </w:p>
    <w:p>
      <w:pPr>
        <w:pStyle w:val="FirstParagraph"/>
      </w:pPr>
      <w:r>
        <w:t xml:space="preserve">The product\'s durability and energy consumption during its operational life are critical factors.</w:t>
      </w:r>
    </w:p>
    <w:p>
      <w:pPr>
        <w:numPr>
          <w:ilvl w:val="0"/>
          <w:numId w:val="1007"/>
        </w:numPr>
        <w:pStyle w:val="Compact"/>
      </w:pPr>
      <w:r>
        <w:rPr>
          <w:bCs/>
          <w:b/>
        </w:rPr>
        <w:t xml:space="preserve">Product Lifespan:</w:t>
      </w:r>
      <w:r>
        <w:t xml:space="preserve"> </w:t>
      </w:r>
      <w:r>
        <w:t xml:space="preserve">swqyfunxje</w:t>
      </w:r>
      <w:r>
        <w:t xml:space="preserve"> </w:t>
      </w:r>
      <w:r>
        <w:t xml:space="preserve">= 5 years</w:t>
      </w:r>
    </w:p>
    <w:p>
      <w:pPr>
        <w:numPr>
          <w:ilvl w:val="0"/>
          <w:numId w:val="1007"/>
        </w:numPr>
        <w:pStyle w:val="Compact"/>
      </w:pPr>
      <w:r>
        <w:rPr>
          <w:bCs/>
          <w:b/>
        </w:rPr>
        <w:t xml:space="preserve">Energy Consumption in Use (per year):</w:t>
      </w:r>
      <w:r>
        <w:t xml:space="preserve"> </w:t>
      </w:r>
      <w:r>
        <w:t xml:space="preserve">yhttsxedpp</w:t>
      </w:r>
      <w:r>
        <w:t xml:space="preserve"> </w:t>
      </w:r>
      <w:r>
        <w:t xml:space="preserve">= 20 kWh/year</w:t>
      </w:r>
    </w:p>
    <w:p>
      <w:pPr>
        <w:numPr>
          <w:ilvl w:val="0"/>
          <w:numId w:val="1007"/>
        </w:numPr>
        <w:pStyle w:val="Compact"/>
      </w:pPr>
      <w:r>
        <w:rPr>
          <w:bCs/>
          <w:b/>
        </w:rPr>
        <w:t xml:space="preserve">Total Energy Consumption over Lifespan:</w:t>
      </w:r>
      <w:r>
        <w:t xml:space="preserve"> </w:t>
      </w:r>
      <w:r>
        <w:t xml:space="preserve">20 kWh/year * 5 years = 100 kWh</w:t>
      </w:r>
    </w:p>
    <w:p>
      <w:pPr>
        <w:numPr>
          <w:ilvl w:val="0"/>
          <w:numId w:val="1007"/>
        </w:numPr>
        <w:pStyle w:val="Compact"/>
      </w:pPr>
      <w:r>
        <w:rPr>
          <w:bCs/>
          <w:b/>
        </w:rPr>
        <w:t xml:space="preserve">European Average Grid Electricity Emission Factor (Illustrative):</w:t>
      </w:r>
      <w:r>
        <w:t xml:space="preserve"> </w:t>
      </w:r>
      <w:r>
        <w:t xml:space="preserve">0.25 kgCO2e/kWh</w:t>
      </w:r>
    </w:p>
    <w:bookmarkEnd w:id="28"/>
    <w:bookmarkStart w:id="29" w:name="end-of-life-eol-downstream---scope-3"/>
    <w:p>
      <w:pPr>
        <w:pStyle w:val="Heading3"/>
      </w:pPr>
      <w:r>
        <w:t xml:space="preserve">2.5. End-of-Life (EoL) (Downstream - Scope 3)</w:t>
      </w:r>
    </w:p>
    <w:p>
      <w:pPr>
        <w:pStyle w:val="FirstParagraph"/>
      </w:pPr>
      <w:r>
        <w:t xml:space="preserve">Circular economy impacts, including recyclability and take-back programs, are considered.</w:t>
      </w:r>
    </w:p>
    <w:p>
      <w:pPr>
        <w:numPr>
          <w:ilvl w:val="0"/>
          <w:numId w:val="1008"/>
        </w:numPr>
        <w:pStyle w:val="Compact"/>
      </w:pPr>
      <w:r>
        <w:rPr>
          <w:bCs/>
          <w:b/>
        </w:rPr>
        <w:t xml:space="preserve">Recyclability Percentage:</w:t>
      </w:r>
      <w:r>
        <w:t xml:space="preserve"> </w:t>
      </w:r>
      <w:r>
        <w:t xml:space="preserve">ifrfejhvly</w:t>
      </w:r>
      <w:r>
        <w:t xml:space="preserve"> </w:t>
      </w:r>
      <w:r>
        <w:t xml:space="preserve">= 70%</w:t>
      </w:r>
    </w:p>
    <w:p>
      <w:pPr>
        <w:numPr>
          <w:ilvl w:val="0"/>
          <w:numId w:val="1008"/>
        </w:numPr>
        <w:pStyle w:val="Compact"/>
      </w:pPr>
      <w:r>
        <w:rPr>
          <w:bCs/>
          <w:b/>
        </w:rPr>
        <w:t xml:space="preserve">Circular/Take-back Programs:</w:t>
      </w:r>
      <w:r>
        <w:t xml:space="preserve"> </w:t>
      </w:r>
      <w:r>
        <w:t xml:space="preserve">mnuhmstynl</w:t>
      </w:r>
      <w:r>
        <w:t xml:space="preserve"> </w:t>
      </w:r>
      <w:r>
        <w:t xml:space="preserve">= Implemented (This implies infrastructure for recycling is available and promoted).</w:t>
      </w:r>
    </w:p>
    <w:p>
      <w:pPr>
        <w:numPr>
          <w:ilvl w:val="0"/>
          <w:numId w:val="1008"/>
        </w:numPr>
        <w:pStyle w:val="Compact"/>
      </w:pPr>
      <w:r>
        <w:rPr>
          <w:bCs/>
          <w:b/>
        </w:rPr>
        <w:t xml:space="preserve">Assumed Recycling Benefit Factor:</w:t>
      </w:r>
      <w:r>
        <w:t xml:space="preserve"> </w:t>
      </w:r>
      <w:r>
        <w:t xml:space="preserve">50% of virgin material\'s carbon footprint can be avoided for recycled content.</w:t>
      </w:r>
    </w:p>
    <w:p>
      <w:pPr>
        <w:numPr>
          <w:ilvl w:val="0"/>
          <w:numId w:val="1008"/>
        </w:numPr>
        <w:pStyle w:val="Compact"/>
      </w:pPr>
      <w:r>
        <w:rPr>
          <w:bCs/>
          <w:b/>
        </w:rPr>
        <w:t xml:space="preserve">Disposal Emission Factor (Illustrative, for non-recycled waste):</w:t>
      </w:r>
      <w:r>
        <w:t xml:space="preserve"> </w:t>
      </w:r>
      <w:r>
        <w:t xml:space="preserve">0.4 kgCO2e/kg (landfill/incineration for remaining waste)</w:t>
      </w:r>
    </w:p>
    <w:p>
      <w:r>
        <w:pict>
          <v:rect style="width:0;height:1.5pt" o:hralign="center" o:hrstd="t" o:hr="t"/>
        </w:pict>
      </w:r>
    </w:p>
    <w:bookmarkEnd w:id="29"/>
    <w:bookmarkEnd w:id="30"/>
    <w:bookmarkStart w:id="36" w:name="X439a6e6dcb43c636bf515ffaf3f59bce0bd6490"/>
    <w:p>
      <w:pPr>
        <w:pStyle w:val="Heading2"/>
      </w:pPr>
      <w:r>
        <w:t xml:space="preserve">4. Emission Calculation (Activity * Emission Factor = CO2e)</w:t>
      </w:r>
    </w:p>
    <w:p>
      <w:pPr>
        <w:pStyle w:val="FirstParagraph"/>
      </w:pPr>
      <w:r>
        <w:t xml:space="preserve">Emissions are calculated for each stage, categorized by GHG Protocol scopes. All calculations are for</w:t>
      </w:r>
      <w:r>
        <w:t xml:space="preserve"> </w:t>
      </w:r>
      <w:r>
        <w:t xml:space="preserve">1.0 functional unit</w:t>
      </w:r>
      <w:r>
        <w:t xml:space="preserve"> </w:t>
      </w:r>
      <w:r>
        <w:t xml:space="preserve">of pkntnvuvuy.</w:t>
      </w:r>
    </w:p>
    <w:bookmarkStart w:id="31" w:name="X1198c8af25dd1a2ebffa686809674f976343a37"/>
    <w:p>
      <w:pPr>
        <w:pStyle w:val="Heading3"/>
      </w:pPr>
      <w:r>
        <w:t xml:space="preserve">4.1. Material Acquisition &amp; Pre-processing (Scope 3 - Upstream)</w:t>
      </w:r>
    </w:p>
    <w:p>
      <w:pPr>
        <w:pStyle w:val="FirstParagraph"/>
      </w:pPr>
      <w:r>
        <w:t xml:space="preserve">Total emissions from raw materials are directly summed from the provided BOM data.</w:t>
      </w:r>
    </w:p>
    <w:p>
      <w:pPr>
        <w:numPr>
          <w:ilvl w:val="0"/>
          <w:numId w:val="1009"/>
        </w:numPr>
        <w:pStyle w:val="Compact"/>
      </w:pPr>
      <w:r>
        <w:t xml:space="preserve">Plastic Casing: 1.75 kgCO2e</w:t>
      </w:r>
    </w:p>
    <w:p>
      <w:pPr>
        <w:numPr>
          <w:ilvl w:val="0"/>
          <w:numId w:val="1009"/>
        </w:numPr>
        <w:pStyle w:val="Compact"/>
      </w:pPr>
      <w:r>
        <w:t xml:space="preserve">Aluminum Frame: 1.60 kgCO2e</w:t>
      </w:r>
    </w:p>
    <w:p>
      <w:pPr>
        <w:numPr>
          <w:ilvl w:val="0"/>
          <w:numId w:val="1009"/>
        </w:numPr>
        <w:pStyle w:val="Compact"/>
      </w:pPr>
      <w:r>
        <w:t xml:space="preserve">Electronic Components: 2.00 kgCO2e</w:t>
      </w:r>
    </w:p>
    <w:p>
      <w:pPr>
        <w:numPr>
          <w:ilvl w:val="0"/>
          <w:numId w:val="1009"/>
        </w:numPr>
        <w:pStyle w:val="Compact"/>
      </w:pPr>
      <w:r>
        <w:t xml:space="preserve">Packaging Cardboard: 0.06 kgCO2e</w:t>
      </w:r>
    </w:p>
    <w:p>
      <w:pPr>
        <w:pStyle w:val="FirstParagraph"/>
      </w:pPr>
      <w:r>
        <w:rPr>
          <w:bCs/>
          <w:b/>
        </w:rPr>
        <w:t xml:space="preserve">Total Material Emissions (Scope 3): 1.75 + 1.60 + 2.00 + 0.06 = 5.41 kgCO2e</w:t>
      </w:r>
    </w:p>
    <w:bookmarkEnd w:id="31"/>
    <w:bookmarkStart w:id="32" w:name="manufacturing-emissions"/>
    <w:p>
      <w:pPr>
        <w:pStyle w:val="Heading3"/>
      </w:pPr>
      <w:r>
        <w:t xml:space="preserve">4.2. Manufacturing Emissions</w:t>
      </w:r>
    </w:p>
    <w:p>
      <w:pPr>
        <w:numPr>
          <w:ilvl w:val="0"/>
          <w:numId w:val="1010"/>
        </w:numPr>
        <w:pStyle w:val="Compact"/>
      </w:pPr>
      <w:r>
        <w:rPr>
          <w:bCs/>
          <w:b/>
        </w:rPr>
        <w:t xml:space="preserve">Scope 1 (Direct Emissions):</w:t>
      </w:r>
      <w:r>
        <w:t xml:space="preserve"> </w:t>
      </w:r>
      <w:r>
        <w:t xml:space="preserve">Assumed negligible based on general product manufacturing profiles where direct fuel combustion is not a primary energy source.</w:t>
      </w:r>
      <w:r>
        <w:t xml:space="preserve"> </w:t>
      </w:r>
      <w:r>
        <w:t xml:space="preserve">0.00 kgCO2e</w:t>
      </w:r>
    </w:p>
    <w:p>
      <w:pPr>
        <w:numPr>
          <w:ilvl w:val="0"/>
          <w:numId w:val="1010"/>
        </w:numPr>
        <w:pStyle w:val="Compact"/>
      </w:pPr>
      <w:r>
        <w:rPr>
          <w:bCs/>
          <w:b/>
        </w:rPr>
        <w:t xml:space="preserve">Scope 2 (Purchased Electricity):</w:t>
      </w:r>
    </w:p>
    <w:p>
      <w:pPr>
        <w:numPr>
          <w:ilvl w:val="1"/>
          <w:numId w:val="1011"/>
        </w:numPr>
        <w:pStyle w:val="Compact"/>
      </w:pPr>
      <w:r>
        <w:t xml:space="preserve">Non-Renewable Energy used: 5 kWh/unit</w:t>
      </w:r>
    </w:p>
    <w:p>
      <w:pPr>
        <w:numPr>
          <w:ilvl w:val="1"/>
          <w:numId w:val="1011"/>
        </w:numPr>
        <w:pStyle w:val="Compact"/>
      </w:pPr>
      <w:r>
        <w:t xml:space="preserve">China Grid Emission Factor: 0.6 kgCO2e/kWh</w:t>
      </w:r>
    </w:p>
    <w:p>
      <w:pPr>
        <w:numPr>
          <w:ilvl w:val="1"/>
          <w:numId w:val="1011"/>
        </w:numPr>
        <w:pStyle w:val="Compact"/>
      </w:pPr>
      <w:r>
        <w:t xml:space="preserve">Emissions:</w:t>
      </w:r>
      <w:r>
        <w:t xml:space="preserve"> </w:t>
      </w:r>
      <w:r>
        <w:t xml:space="preserve">5 kWh/unit * 0.6 kgCO2e/kWh =</w:t>
      </w:r>
      <w:r>
        <w:t xml:space="preserve"> </w:t>
      </w:r>
      <w:r>
        <w:t xml:space="preserve">3.00 kgCO2e</w:t>
      </w:r>
    </w:p>
    <w:p>
      <w:pPr>
        <w:numPr>
          <w:ilvl w:val="0"/>
          <w:numId w:val="1010"/>
        </w:numPr>
        <w:pStyle w:val="Compact"/>
      </w:pPr>
      <w:r>
        <w:rPr>
          <w:bCs/>
          <w:b/>
        </w:rPr>
        <w:t xml:space="preserve">Scope 3 (Other Upstream Emissions related to manufacturing):</w:t>
      </w:r>
      <w:r>
        <w:t xml:space="preserve"> </w:t>
      </w:r>
      <w:r>
        <w:t xml:space="preserve">Includes emissions from capital goods, waste generated in operations, etc. For this analysis, specific data is not provided, so these are acknowledged but not quantified in detail to maintain focus on primary data sources.</w:t>
      </w:r>
    </w:p>
    <w:bookmarkEnd w:id="32"/>
    <w:bookmarkStart w:id="33" w:name="transport-distribution-emissions-scope-3"/>
    <w:p>
      <w:pPr>
        <w:pStyle w:val="Heading3"/>
      </w:pPr>
      <w:r>
        <w:t xml:space="preserve">4.3. Transport &amp; Distribution Emissions (Scope 3)</w:t>
      </w:r>
    </w:p>
    <w:p>
      <w:pPr>
        <w:numPr>
          <w:ilvl w:val="0"/>
          <w:numId w:val="1012"/>
        </w:numPr>
        <w:pStyle w:val="Compact"/>
      </w:pPr>
      <w:r>
        <w:rPr>
          <w:bCs/>
          <w:b/>
        </w:rPr>
        <w:t xml:space="preserve">Upstream Transport (Materials to Factory):</w:t>
      </w:r>
    </w:p>
    <w:p>
      <w:pPr>
        <w:numPr>
          <w:ilvl w:val="1"/>
          <w:numId w:val="1013"/>
        </w:numPr>
        <w:pStyle w:val="Compact"/>
      </w:pPr>
      <w:r>
        <w:t xml:space="preserve">Total Material Weight: 0.85 kg = 0.00085 tonnes</w:t>
      </w:r>
    </w:p>
    <w:p>
      <w:pPr>
        <w:numPr>
          <w:ilvl w:val="1"/>
          <w:numId w:val="1013"/>
        </w:numPr>
        <w:pStyle w:val="Compact"/>
      </w:pPr>
      <w:r>
        <w:t xml:space="preserve">Distance: 1000 km</w:t>
      </w:r>
    </w:p>
    <w:p>
      <w:pPr>
        <w:numPr>
          <w:ilvl w:val="1"/>
          <w:numId w:val="1013"/>
        </w:numPr>
        <w:pStyle w:val="Compact"/>
      </w:pPr>
      <w:r>
        <w:t xml:space="preserve">Road Freight EF: 0.1 kgCO2e/tonne-km</w:t>
      </w:r>
    </w:p>
    <w:p>
      <w:pPr>
        <w:numPr>
          <w:ilvl w:val="1"/>
          <w:numId w:val="1013"/>
        </w:numPr>
        <w:pStyle w:val="Compact"/>
      </w:pPr>
      <w:r>
        <w:t xml:space="preserve">Emissions:</w:t>
      </w:r>
      <w:r>
        <w:t xml:space="preserve"> </w:t>
      </w:r>
      <w:r>
        <w:t xml:space="preserve">0.00085 tonnes * 1000 km * 0.1 kgCO2e/tonne-km =</w:t>
      </w:r>
      <w:r>
        <w:t xml:space="preserve"> </w:t>
      </w:r>
      <w:r>
        <w:t xml:space="preserve">0.085 kgCO2e</w:t>
      </w:r>
    </w:p>
    <w:p>
      <w:pPr>
        <w:numPr>
          <w:ilvl w:val="0"/>
          <w:numId w:val="1012"/>
        </w:numPr>
        <w:pStyle w:val="Compact"/>
      </w:pPr>
      <w:r>
        <w:rPr>
          <w:bCs/>
          <w:b/>
        </w:rPr>
        <w:t xml:space="preserve">Downstream Primary Transport (Factory to Distribution Hub):</w:t>
      </w:r>
    </w:p>
    <w:p>
      <w:pPr>
        <w:numPr>
          <w:ilvl w:val="1"/>
          <w:numId w:val="1014"/>
        </w:numPr>
        <w:pStyle w:val="Compact"/>
      </w:pPr>
      <w:r>
        <w:t xml:space="preserve">Product Weight (assumed for transport): 1 kg = 0.001 tonnes</w:t>
      </w:r>
    </w:p>
    <w:p>
      <w:pPr>
        <w:numPr>
          <w:ilvl w:val="1"/>
          <w:numId w:val="1014"/>
        </w:numPr>
        <w:pStyle w:val="Compact"/>
      </w:pPr>
      <w:r>
        <w:t xml:space="preserve">Distance: 1200 km</w:t>
      </w:r>
    </w:p>
    <w:p>
      <w:pPr>
        <w:numPr>
          <w:ilvl w:val="1"/>
          <w:numId w:val="1014"/>
        </w:numPr>
        <w:pStyle w:val="Compact"/>
      </w:pPr>
      <w:r>
        <w:t xml:space="preserve">Road Freight EF: 0.1 kgCO2e/tonne-km</w:t>
      </w:r>
    </w:p>
    <w:p>
      <w:pPr>
        <w:numPr>
          <w:ilvl w:val="1"/>
          <w:numId w:val="1014"/>
        </w:numPr>
        <w:pStyle w:val="Compact"/>
      </w:pPr>
      <w:r>
        <w:t xml:space="preserve">Emissions:</w:t>
      </w:r>
      <w:r>
        <w:t xml:space="preserve"> </w:t>
      </w:r>
      <w:r>
        <w:t xml:space="preserve">0.001 tonnes * 1200 km * 0.1 kgCO2e/tonne-km =</w:t>
      </w:r>
      <w:r>
        <w:t xml:space="preserve"> </w:t>
      </w:r>
      <w:r>
        <w:t xml:space="preserve">0.120 kgCO2e</w:t>
      </w:r>
    </w:p>
    <w:p>
      <w:pPr>
        <w:numPr>
          <w:ilvl w:val="0"/>
          <w:numId w:val="1012"/>
        </w:numPr>
        <w:pStyle w:val="Compact"/>
      </w:pPr>
      <w:r>
        <w:rPr>
          <w:bCs/>
          <w:b/>
        </w:rPr>
        <w:t xml:space="preserve">Last-Mile Delivery (Parcel Delivery):</w:t>
      </w:r>
    </w:p>
    <w:p>
      <w:pPr>
        <w:numPr>
          <w:ilvl w:val="1"/>
          <w:numId w:val="1015"/>
        </w:numPr>
        <w:pStyle w:val="Compact"/>
      </w:pPr>
      <w:r>
        <w:t xml:space="preserve">Distance: 50 km</w:t>
      </w:r>
    </w:p>
    <w:p>
      <w:pPr>
        <w:numPr>
          <w:ilvl w:val="1"/>
          <w:numId w:val="1015"/>
        </w:numPr>
        <w:pStyle w:val="Compact"/>
      </w:pPr>
      <w:r>
        <w:t xml:space="preserve">Parcel Delivery EF: 0.005 kgCO2e/km/small parcel</w:t>
      </w:r>
    </w:p>
    <w:p>
      <w:pPr>
        <w:numPr>
          <w:ilvl w:val="1"/>
          <w:numId w:val="1015"/>
        </w:numPr>
        <w:pStyle w:val="Compact"/>
      </w:pPr>
      <w:r>
        <w:t xml:space="preserve">Emissions:</w:t>
      </w:r>
      <w:r>
        <w:t xml:space="preserve"> </w:t>
      </w:r>
      <w:r>
        <w:t xml:space="preserve">1 unit * 50 km * 0.005 kgCO2e/km =</w:t>
      </w:r>
      <w:r>
        <w:t xml:space="preserve"> </w:t>
      </w:r>
      <w:r>
        <w:t xml:space="preserve">0.250 kgCO2e</w:t>
      </w:r>
    </w:p>
    <w:p>
      <w:pPr>
        <w:numPr>
          <w:ilvl w:val="0"/>
          <w:numId w:val="1012"/>
        </w:numPr>
        <w:pStyle w:val="Compact"/>
      </w:pPr>
      <w:r>
        <w:rPr>
          <w:bCs/>
          <w:b/>
        </w:rPr>
        <w:t xml:space="preserve">Total Transport Emissions (Scope 3):</w:t>
      </w:r>
      <w:r>
        <w:t xml:space="preserve"> </w:t>
      </w:r>
      <w:r>
        <w:t xml:space="preserve">0.085 + 0.120 + 0.250 =</w:t>
      </w:r>
      <w:r>
        <w:t xml:space="preserve"> </w:t>
      </w:r>
      <w:r>
        <w:t xml:space="preserve">0.455 kgCO2e</w:t>
      </w:r>
    </w:p>
    <w:bookmarkEnd w:id="33"/>
    <w:bookmarkStart w:id="34" w:name="use-phase-emissions-scope-3---downstream"/>
    <w:p>
      <w:pPr>
        <w:pStyle w:val="Heading3"/>
      </w:pPr>
      <w:r>
        <w:t xml:space="preserve">4.4. Use Phase Emissions (Scope 3 - Downstream)</w:t>
      </w:r>
    </w:p>
    <w:p>
      <w:pPr>
        <w:numPr>
          <w:ilvl w:val="0"/>
          <w:numId w:val="1016"/>
        </w:numPr>
        <w:pStyle w:val="Compact"/>
      </w:pPr>
      <w:r>
        <w:t xml:space="preserve">Total Energy Consumption: 100 kWh</w:t>
      </w:r>
    </w:p>
    <w:p>
      <w:pPr>
        <w:numPr>
          <w:ilvl w:val="0"/>
          <w:numId w:val="1016"/>
        </w:numPr>
        <w:pStyle w:val="Compact"/>
      </w:pPr>
      <w:r>
        <w:t xml:space="preserve">European Average Grid EF: 0.25 kgCO2e/kWh</w:t>
      </w:r>
    </w:p>
    <w:p>
      <w:pPr>
        <w:numPr>
          <w:ilvl w:val="0"/>
          <w:numId w:val="1016"/>
        </w:numPr>
        <w:pStyle w:val="Compact"/>
      </w:pPr>
      <w:r>
        <w:t xml:space="preserve">Emissions:</w:t>
      </w:r>
      <w:r>
        <w:t xml:space="preserve"> </w:t>
      </w:r>
      <w:r>
        <w:t xml:space="preserve">100 kWh * 0.25 kgCO2e/kWh =</w:t>
      </w:r>
      <w:r>
        <w:t xml:space="preserve"> </w:t>
      </w:r>
      <w:r>
        <w:t xml:space="preserve">25.00 kgCO2e</w:t>
      </w:r>
    </w:p>
    <w:bookmarkEnd w:id="34"/>
    <w:bookmarkStart w:id="35" w:name="X526d6377eb8b8ea76c3942fbec91933c6c5082e"/>
    <w:p>
      <w:pPr>
        <w:pStyle w:val="Heading3"/>
      </w:pPr>
      <w:r>
        <w:t xml:space="preserve">4.5. End-of-Life Emissions &amp; Benefits (Scope 3 - Downstream)</w:t>
      </w:r>
    </w:p>
    <w:p>
      <w:pPr>
        <w:numPr>
          <w:ilvl w:val="0"/>
          <w:numId w:val="1017"/>
        </w:numPr>
        <w:pStyle w:val="Compact"/>
      </w:pPr>
      <w:r>
        <w:rPr>
          <w:bCs/>
          <w:b/>
        </w:rPr>
        <w:t xml:space="preserve">Recycling Benefit:</w:t>
      </w:r>
    </w:p>
    <w:p>
      <w:pPr>
        <w:numPr>
          <w:ilvl w:val="1"/>
          <w:numId w:val="1018"/>
        </w:numPr>
        <w:pStyle w:val="Compact"/>
      </w:pPr>
      <w:r>
        <w:t xml:space="preserve">Total Material Carbon: 5.41 kgCO2e</w:t>
      </w:r>
    </w:p>
    <w:p>
      <w:pPr>
        <w:numPr>
          <w:ilvl w:val="1"/>
          <w:numId w:val="1018"/>
        </w:numPr>
        <w:pStyle w:val="Compact"/>
      </w:pPr>
      <w:r>
        <w:t xml:space="preserve">Recyclability Percentage: 70%</w:t>
      </w:r>
    </w:p>
    <w:p>
      <w:pPr>
        <w:numPr>
          <w:ilvl w:val="1"/>
          <w:numId w:val="1018"/>
        </w:numPr>
        <w:pStyle w:val="Compact"/>
      </w:pPr>
      <w:r>
        <w:t xml:space="preserve">Recycling Benefit Factor: 50%</w:t>
      </w:r>
    </w:p>
    <w:p>
      <w:pPr>
        <w:numPr>
          <w:ilvl w:val="1"/>
          <w:numId w:val="1018"/>
        </w:numPr>
        <w:pStyle w:val="Compact"/>
      </w:pPr>
      <w:r>
        <w:t xml:space="preserve">Avoided Emissions:</w:t>
      </w:r>
      <w:r>
        <w:t xml:space="preserve"> </w:t>
      </w:r>
      <w:r>
        <w:t xml:space="preserve">- (5.41 kgCO2e * 0.70 * 0.50) =</w:t>
      </w:r>
      <w:r>
        <w:t xml:space="preserve"> </w:t>
      </w:r>
      <w:r>
        <w:t xml:space="preserve">-1.89 kgCO2e</w:t>
      </w:r>
      <w:r>
        <w:t xml:space="preserve"> </w:t>
      </w:r>
      <w:r>
        <w:t xml:space="preserve">(negative, representing avoided emissions)</w:t>
      </w:r>
    </w:p>
    <w:p>
      <w:pPr>
        <w:numPr>
          <w:ilvl w:val="0"/>
          <w:numId w:val="1017"/>
        </w:numPr>
        <w:pStyle w:val="Compact"/>
      </w:pPr>
      <w:r>
        <w:rPr>
          <w:bCs/>
          <w:b/>
        </w:rPr>
        <w:t xml:space="preserve">Disposal Emissions (Non-Recycled Waste):</w:t>
      </w:r>
    </w:p>
    <w:p>
      <w:pPr>
        <w:numPr>
          <w:ilvl w:val="1"/>
          <w:numId w:val="1019"/>
        </w:numPr>
        <w:pStyle w:val="Compact"/>
      </w:pPr>
      <w:r>
        <w:t xml:space="preserve">Non-Recycled Material Weight: 0.85 kg * (1 - 0.70) = 0.255 kg</w:t>
      </w:r>
    </w:p>
    <w:p>
      <w:pPr>
        <w:numPr>
          <w:ilvl w:val="1"/>
          <w:numId w:val="1019"/>
        </w:numPr>
        <w:pStyle w:val="Compact"/>
      </w:pPr>
      <w:r>
        <w:t xml:space="preserve">Disposal Emission Factor: 0.4 kgCO2e/kg</w:t>
      </w:r>
    </w:p>
    <w:p>
      <w:pPr>
        <w:numPr>
          <w:ilvl w:val="1"/>
          <w:numId w:val="1019"/>
        </w:numPr>
        <w:pStyle w:val="Compact"/>
      </w:pPr>
      <w:r>
        <w:t xml:space="preserve">Emissions:</w:t>
      </w:r>
      <w:r>
        <w:t xml:space="preserve"> </w:t>
      </w:r>
      <w:r>
        <w:t xml:space="preserve">0.255 kg * 0.4 kgCO2e/kg =</w:t>
      </w:r>
      <w:r>
        <w:t xml:space="preserve"> </w:t>
      </w:r>
      <w:r>
        <w:t xml:space="preserve">0.102 kgCO2e</w:t>
      </w:r>
    </w:p>
    <w:p>
      <w:pPr>
        <w:numPr>
          <w:ilvl w:val="0"/>
          <w:numId w:val="1017"/>
        </w:numPr>
        <w:pStyle w:val="Compact"/>
      </w:pPr>
      <w:r>
        <w:rPr>
          <w:bCs/>
          <w:b/>
        </w:rPr>
        <w:t xml:space="preserve">Net End-of-Life Emissions (Scope 3):</w:t>
      </w:r>
      <w:r>
        <w:t xml:space="preserve"> </w:t>
      </w:r>
      <w:r>
        <w:t xml:space="preserve">-1.89 + 0.102 =</w:t>
      </w:r>
      <w:r>
        <w:t xml:space="preserve"> </w:t>
      </w:r>
      <w:r>
        <w:t xml:space="preserve">-1.79 kgCO2e</w:t>
      </w:r>
    </w:p>
    <w:p>
      <w:r>
        <w:pict>
          <v:rect style="width:0;height:1.5pt" o:hralign="center" o:hrstd="t" o:hr="t"/>
        </w:pict>
      </w:r>
    </w:p>
    <w:bookmarkEnd w:id="35"/>
    <w:bookmarkEnd w:id="36"/>
    <w:bookmarkStart w:id="38" w:name="X299a3717db401fbc63eac38de0814f3ad8939f4"/>
    <w:p>
      <w:pPr>
        <w:pStyle w:val="Heading2"/>
      </w:pPr>
      <w:r>
        <w:t xml:space="preserve">Total Product Carbon Footprint (PCF) Summary</w:t>
      </w:r>
    </w:p>
    <w:p>
      <w:pPr>
        <w:pStyle w:val="FirstParagraph"/>
      </w:pPr>
      <w:r>
        <w:t xml:space="preserve">The table below summarizes the GHG emissions for</w:t>
      </w:r>
      <w:r>
        <w:t xml:space="preserve"> </w:t>
      </w:r>
      <w:r>
        <w:t xml:space="preserve">pkntnvuvuy</w:t>
      </w:r>
      <w:r>
        <w:t xml:space="preserve"> </w:t>
      </w:r>
      <w:r>
        <w:t xml:space="preserve">across its lifecycle stages and categorized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5.41</w:t>
            </w:r>
          </w:p>
        </w:tc>
      </w:tr>
      <w:tr>
        <w:tc>
          <w:tcPr/>
          <w:p>
            <w:pPr>
              <w:pStyle w:val="Compact"/>
              <w:jc w:val="left"/>
            </w:pPr>
            <w:r>
              <w:t xml:space="preserve">Manufacturing (Scope 1)</w:t>
            </w:r>
          </w:p>
        </w:tc>
        <w:tc>
          <w:tcPr/>
          <w:p>
            <w:pPr>
              <w:pStyle w:val="Compact"/>
              <w:jc w:val="left"/>
            </w:pPr>
            <w:r>
              <w:t xml:space="preserve">Scope 1 (Direct)</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 (Purchased Electricity)</w:t>
            </w:r>
          </w:p>
        </w:tc>
        <w:tc>
          <w:tcPr/>
          <w:p>
            <w:pPr>
              <w:pStyle w:val="Compact"/>
              <w:jc w:val="left"/>
            </w:pPr>
            <w:r>
              <w:t xml:space="preserve">3.00</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0.46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-1.79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32.08</w:t>
            </w:r>
          </w:p>
        </w:tc>
      </w:tr>
    </w:tbl>
    <w:p>
      <w:pPr>
        <w:pStyle w:val="BodyText"/>
      </w:pPr>
      <w:r>
        <w:t xml:space="preserve">The total Product Carbon Footprint for one unit of pkntnvuvuy is</w:t>
      </w:r>
      <w:r>
        <w:t xml:space="preserve"> </w:t>
      </w:r>
      <w:r>
        <w:t xml:space="preserve">32.08 kgCO2e</w:t>
      </w:r>
      <w:r>
        <w:t xml:space="preserve">.</w:t>
      </w:r>
    </w:p>
    <w:bookmarkStart w:id="37" w:name="ghg-protocol-scope-summary"/>
    <w:p>
      <w:pPr>
        <w:pStyle w:val="Heading3"/>
      </w:pPr>
      <w:r>
        <w:t xml:space="preserve">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from owned or controlled sources (e.g., direct fuel combustion in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the generation of purchased energy (e.g., electricity consumed in manufacturing).</w:t>
            </w:r>
          </w:p>
        </w:tc>
        <w:tc>
          <w:tcPr/>
          <w:p>
            <w:pPr>
              <w:pStyle w:val="Compact"/>
              <w:jc w:val="left"/>
            </w:pPr>
            <w:r>
              <w:t xml:space="preserve">3.00</w:t>
            </w:r>
          </w:p>
        </w:tc>
      </w:tr>
      <w:tr>
        <w:tc>
          <w:tcPr/>
          <w:p>
            <w:pPr>
              <w:pStyle w:val="Compact"/>
              <w:jc w:val="left"/>
            </w:pPr>
            <w:r>
              <w:t xml:space="preserve">Scope 3</w:t>
            </w:r>
          </w:p>
        </w:tc>
        <w:tc>
          <w:tcPr/>
          <w:p>
            <w:pPr>
              <w:pStyle w:val="Compact"/>
              <w:jc w:val="left"/>
            </w:pPr>
            <w:r>
              <w:t xml:space="preserve">All other indirect emissions that occur in the value chain of the reporting company, both upstream and downstream. This includes materials, transport, use phase, and end-of-life.</w:t>
            </w:r>
          </w:p>
        </w:tc>
        <w:tc>
          <w:tcPr/>
          <w:p>
            <w:pPr>
              <w:pStyle w:val="Compact"/>
              <w:jc w:val="left"/>
            </w:pPr>
            <w:r>
              <w:t xml:space="preserve">5.41 (Materials) + 0.46 (Transport) + 25.00 (Use Phase) - 1.79 (EoL) = 29.08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32.08</w:t>
            </w:r>
          </w:p>
        </w:tc>
      </w:tr>
    </w:tbl>
    <w:p>
      <w:r>
        <w:pict>
          <v:rect style="width:0;height:1.5pt" o:hralign="center" o:hrstd="t" o:hr="t"/>
        </w:pict>
      </w:r>
    </w:p>
    <w:bookmarkEnd w:id="37"/>
    <w:bookmarkEnd w:id="38"/>
    <w:bookmarkStart w:id="42" w:name="review-report"/>
    <w:p>
      <w:pPr>
        <w:pStyle w:val="Heading2"/>
      </w:pPr>
      <w:r>
        <w:t xml:space="preserve">5. Review &amp; Report</w:t>
      </w:r>
    </w:p>
    <w:bookmarkStart w:id="39" w:name="hotspot-identification"/>
    <w:p>
      <w:pPr>
        <w:pStyle w:val="Heading3"/>
      </w:pPr>
      <w:r>
        <w:t xml:space="preserve">5.1. Hotspot Identification</w:t>
      </w:r>
    </w:p>
    <w:p>
      <w:pPr>
        <w:pStyle w:val="FirstParagraph"/>
      </w:pPr>
      <w:r>
        <w:t xml:space="preserve">Based on the analysis, the primary carbon hotspots for pkntnvuvuy are:</w:t>
      </w:r>
    </w:p>
    <w:p>
      <w:pPr>
        <w:numPr>
          <w:ilvl w:val="0"/>
          <w:numId w:val="1020"/>
        </w:numPr>
        <w:pStyle w:val="Compact"/>
      </w:pPr>
      <w:r>
        <w:rPr>
          <w:bCs/>
          <w:b/>
        </w:rPr>
        <w:t xml:space="preserve">Use Phase (25.00 kgCO2e):</w:t>
      </w:r>
      <w:r>
        <w:t xml:space="preserve"> </w:t>
      </w:r>
      <w:r>
        <w:t xml:space="preserve">This stage accounts for the largest portion of the product\'s footprint, primarily due to the energy consumption over its 5-year lifespan. This is a critical area for improvement.</w:t>
      </w:r>
    </w:p>
    <w:p>
      <w:pPr>
        <w:numPr>
          <w:ilvl w:val="0"/>
          <w:numId w:val="1020"/>
        </w:numPr>
        <w:pStyle w:val="Compact"/>
      </w:pPr>
      <w:r>
        <w:rPr>
          <w:bCs/>
          <w:b/>
        </w:rPr>
        <w:t xml:space="preserve">Material Acquisition (5.41 kgCO2e):</w:t>
      </w:r>
      <w:r>
        <w:t xml:space="preserve"> </w:t>
      </w:r>
      <w:r>
        <w:t xml:space="preserve">The production of raw materials, particularly electronic components and aluminum, contributes significantly to the upstream footprint.</w:t>
      </w:r>
    </w:p>
    <w:p>
      <w:pPr>
        <w:numPr>
          <w:ilvl w:val="0"/>
          <w:numId w:val="1020"/>
        </w:numPr>
        <w:pStyle w:val="Compact"/>
      </w:pPr>
      <w:r>
        <w:rPr>
          <w:bCs/>
          <w:b/>
        </w:rPr>
        <w:t xml:space="preserve">Manufacturing (3.00 kgCO2e):</w:t>
      </w:r>
      <w:r>
        <w:t xml:space="preserve"> </w:t>
      </w:r>
      <w:r>
        <w:t xml:space="preserve">While some renewable energy is used, the remaining reliance on the grid in China still contributes substantially.</w:t>
      </w:r>
    </w:p>
    <w:bookmarkEnd w:id="39"/>
    <w:bookmarkStart w:id="40" w:name="data-reliability-and-limitations"/>
    <w:p>
      <w:pPr>
        <w:pStyle w:val="Heading3"/>
      </w:pPr>
      <w:r>
        <w:t xml:space="preserve">5.2. Data Reliability and Limitations</w:t>
      </w:r>
    </w:p>
    <w:p>
      <w:pPr>
        <w:pStyle w:val="FirstParagraph"/>
      </w:pPr>
      <w:r>
        <w:t xml:space="preserve">The analysis relies on provided primary data for BOM, energy usage, lifespan, and EoL scenarios. Secondary data (emission factors for grid electricity, transport, and disposal) are based on illustrative industry averages from reputable sources. While these provide a robust estimate, actual emissions may vary based on specific supplier data, evolving energy mixes, and precise transport routes. The assumption of negligible Scope 1 emissions in manufacturing should be verified with detailed site-specific data if available. The 95% Scope 3 coverage target is addressed by including all major upstream and downstream categories for which data could be approximated or provided.</w:t>
      </w:r>
    </w:p>
    <w:bookmarkEnd w:id="40"/>
    <w:bookmarkStart w:id="41" w:name="recommendations-for-improvement"/>
    <w:p>
      <w:pPr>
        <w:pStyle w:val="Heading3"/>
      </w:pPr>
      <w:r>
        <w:t xml:space="preserve">5.3. Recommendations for Improvement</w:t>
      </w:r>
    </w:p>
    <w:p>
      <w:pPr>
        <w:numPr>
          <w:ilvl w:val="0"/>
          <w:numId w:val="1021"/>
        </w:numPr>
        <w:pStyle w:val="Compact"/>
      </w:pPr>
      <w:r>
        <w:rPr>
          <w:bCs/>
          <w:b/>
        </w:rPr>
        <w:t xml:space="preserve">Reduce Use Phase Energy Consumption:</w:t>
      </w:r>
      <w:r>
        <w:t xml:space="preserve"> </w:t>
      </w:r>
      <w:r>
        <w:t xml:space="preserve">Explore design optimizations for energy efficiency, investigate lower power consumption components, or promote behavior changes for users to reduce overall electricity use during the product\'s lifespan.</w:t>
      </w:r>
    </w:p>
    <w:p>
      <w:pPr>
        <w:numPr>
          <w:ilvl w:val="0"/>
          <w:numId w:val="1021"/>
        </w:numPr>
        <w:pStyle w:val="Compact"/>
      </w:pPr>
      <w:r>
        <w:rPr>
          <w:bCs/>
          <w:b/>
        </w:rPr>
        <w:t xml:space="preserve">Enhance Renewable Energy Sourcing:</w:t>
      </w:r>
      <w:r>
        <w:t xml:space="preserve"> </w:t>
      </w:r>
      <w:r>
        <w:t xml:space="preserve">Increase the percentage of renewable energy used in manufacturing operations in China. This could involve direct procurement of renewable energy or investing in renewable energy certificates.</w:t>
      </w:r>
    </w:p>
    <w:p>
      <w:pPr>
        <w:numPr>
          <w:ilvl w:val="0"/>
          <w:numId w:val="1021"/>
        </w:numPr>
        <w:pStyle w:val="Compact"/>
      </w:pPr>
      <w:r>
        <w:rPr>
          <w:bCs/>
          <w:b/>
        </w:rPr>
        <w:t xml:space="preserve">Material Optimization:</w:t>
      </w:r>
      <w:r>
        <w:t xml:space="preserve"> </w:t>
      </w:r>
      <w:r>
        <w:t xml:space="preserve">Investigate alternative, lower-carbon materials for the plastic casing, aluminum frame, and electronic components. Explore options for using recycled content in materials to further reduce upstream impacts.</w:t>
      </w:r>
    </w:p>
    <w:p>
      <w:pPr>
        <w:numPr>
          <w:ilvl w:val="0"/>
          <w:numId w:val="1021"/>
        </w:numPr>
        <w:pStyle w:val="Compact"/>
      </w:pPr>
      <w:r>
        <w:rPr>
          <w:bCs/>
          <w:b/>
        </w:rPr>
        <w:t xml:space="preserve">Supply Chain Engagement:</w:t>
      </w:r>
      <w:r>
        <w:t xml:space="preserve"> </w:t>
      </w:r>
      <w:r>
        <w:t xml:space="preserve">Work with material suppliers to collect more specific, primary emission data and encourage their decarbonization efforts. Optimize transport routes and consider lower-emission transport modes where feasible.</w:t>
      </w:r>
    </w:p>
    <w:p>
      <w:pPr>
        <w:numPr>
          <w:ilvl w:val="0"/>
          <w:numId w:val="1021"/>
        </w:numPr>
        <w:pStyle w:val="Compact"/>
      </w:pPr>
      <w:r>
        <w:rPr>
          <w:bCs/>
          <w:b/>
        </w:rPr>
        <w:t xml:space="preserve">Strengthen Circularity:</w:t>
      </w:r>
      <w:r>
        <w:t xml:space="preserve"> </w:t>
      </w:r>
      <w:r>
        <w:t xml:space="preserve">Leverage the "Implemented" circular/take-back programs to maximize the actual collection and recycling rates beyond the current 70% recyclability percentage. This could include incentivizing returns or improving product disassembly for recycling.</w:t>
      </w:r>
    </w:p>
    <w:p>
      <w:pPr>
        <w:pStyle w:val="FirstParagraph"/>
      </w:pPr>
      <w:r>
        <w:t xml:space="preserve">By focusing on these areas,</w:t>
      </w:r>
      <w:r>
        <w:t xml:space="preserve"> </w:t>
      </w:r>
      <w:r>
        <w:t xml:space="preserve">dgqurshvzq</w:t>
      </w:r>
      <w:r>
        <w:t xml:space="preserve"> </w:t>
      </w:r>
      <w:r>
        <w:t xml:space="preserve">can significantly reduce the overall environmental impact of</w:t>
      </w:r>
      <w:r>
        <w:t xml:space="preserve"> </w:t>
      </w:r>
      <w:r>
        <w:t xml:space="preserve">pkntnvuvuy</w:t>
      </w:r>
      <w:r>
        <w:t xml:space="preserve"> </w:t>
      </w:r>
      <w:r>
        <w:t xml:space="preserve">and demonstrate leadership in product sustainability.</w:t>
      </w:r>
    </w:p>
    <w:p>
      <w:r>
        <w:pict>
          <v:rect style="width:0;height:1.5pt" o:hralign="center" o:hrstd="t" o:hr="t"/>
        </w:pict>
      </w:r>
    </w:p>
    <w:p>
      <w:pPr>
        <w:pStyle w:val="FirstParagraph"/>
      </w:pPr>
      <w:r>
        <w:t xml:space="preserve">Confidential - Internal Use Only</w:t>
      </w:r>
    </w:p>
    <w:p>
      <w:pPr>
        <w:pStyle w:val="BodyText"/>
      </w:pPr>
      <w:r>
        <w:t xml:space="preserve">Report prepared by lpldwlpxsz, Senior Sustainability Consultant</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pkntnvuvuy</dc:title>
  <dc:creator/>
  <dc:description>Detailed Product Carbon Footprint (PCF) analysis for pkntnvuvuy by dgqurshvzq, adhering to GHG Protocol and 2026 LSR standards, conducted by Senior Sustainability Consultant lpldwlpxsz.</dc:description>
  <dc:language>en</dc:language>
  <cp:keywords/>
  <dcterms:created xsi:type="dcterms:W3CDTF">2026-05-30T18:36:44Z</dcterms:created>
  <dcterms:modified xsi:type="dcterms:W3CDTF">2026-05-30T18:36:44Z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