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pkhfvnepgu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pkhfvnepgu</w:t>
      </w:r>
    </w:p>
    <w:p>
      <w:pPr>
        <w:pStyle w:val="BodyText"/>
      </w:pPr>
      <w:r>
        <w:rPr>
          <w:bCs/>
          <w:b/>
        </w:rPr>
        <w:t xml:space="preserve">Company:</w:t>
      </w:r>
      <w:r>
        <w:t xml:space="preserve"> </w:t>
      </w:r>
      <w:r>
        <w:t xml:space="preserve">dfrelukhvn</w:t>
      </w:r>
    </w:p>
    <w:p>
      <w:pPr>
        <w:pStyle w:val="BodyText"/>
      </w:pPr>
      <w:r>
        <w:rPr>
          <w:bCs/>
          <w:b/>
        </w:rPr>
        <w:t xml:space="preserve">Accounting Standard:</w:t>
      </w:r>
      <w:r>
        <w:t xml:space="preserve"> </w:t>
      </w:r>
      <w:r>
        <w:t xml:space="preserve">GHG Protocol</w:t>
      </w:r>
    </w:p>
    <w:p>
      <w:pPr>
        <w:pStyle w:val="BodyText"/>
      </w:pPr>
      <w:r>
        <w:t xml:space="preserve">Prepared by:</w:t>
      </w:r>
    </w:p>
    <w:p>
      <w:pPr>
        <w:pStyle w:val="BodyText"/>
      </w:pPr>
      <w:r>
        <w:rPr>
          <w:bCs/>
          <w:b/>
        </w:rPr>
        <w:t xml:space="preserve">pipjdodxuj</w:t>
      </w:r>
    </w:p>
    <w:p>
      <w:pPr>
        <w:pStyle w:val="BodyText"/>
      </w:pPr>
      <w:r>
        <w:t xml:space="preserve">Senior Sustainability Consultant</w:t>
      </w:r>
    </w:p>
    <w:p>
      <w:pPr>
        <w:pStyle w:val="BodyText"/>
      </w:pPr>
      <w:r>
        <w:t xml:space="preserve">This report is generated based on available data and industry standards. While every effort has been made to ensure accuracy, the actual environmental impacts may vary depending on real-world conditions and specific supplier data not explicitly provided as part of the placeholder parameters.</w:t>
      </w:r>
    </w:p>
    <w:bookmarkEnd w:id="20"/>
    <w:bookmarkStart w:id="50" w:name="X3b68151333750ec78398a80b4000d553b8a807c"/>
    <w:p>
      <w:pPr>
        <w:pStyle w:val="Heading1"/>
      </w:pPr>
      <w:r>
        <w:t xml:space="preserve">Product Carbon Footprint Analysis for pkhfvnepgu</w:t>
      </w:r>
    </w:p>
    <w:p>
      <w:pPr>
        <w:pStyle w:val="FirstParagraph"/>
      </w:pPr>
      <w:r>
        <w:rPr>
          <w:bCs/>
          <w:b/>
        </w:rPr>
        <w:t xml:space="preserve">Generated Date:</w:t>
      </w:r>
      <w:r>
        <w:t xml:space="preserve"> </w:t>
      </w:r>
      <w:r>
        <w:t xml:space="preserve">June 3, 2026</w:t>
      </w:r>
    </w:p>
    <w:p>
      <w:pPr>
        <w:pStyle w:val="BodyText"/>
      </w:pPr>
      <w:r>
        <w:rPr>
          <w:bCs/>
          <w:b/>
        </w:rPr>
        <w:t xml:space="preserve">Senior Sustainability Consultant:</w:t>
      </w:r>
      <w:r>
        <w:t xml:space="preserve"> </w:t>
      </w:r>
      <w:r>
        <w:t xml:space="preserve">pipjdodxuj</w:t>
      </w:r>
    </w:p>
    <w:p>
      <w:pPr>
        <w:pStyle w:val="BodyText"/>
      </w:pPr>
      <w:r>
        <w:t xml:space="preserve">This report details the Product Carbon Footprint (PCF) analysis for</w:t>
      </w:r>
      <w:r>
        <w:t xml:space="preserve"> </w:t>
      </w:r>
      <w:r>
        <w:rPr>
          <w:bCs/>
          <w:b/>
        </w:rPr>
        <w:t xml:space="preserve">pkhfvnepgu</w:t>
      </w:r>
      <w:r>
        <w:t xml:space="preserve">, manufactured by</w:t>
      </w:r>
      <w:r>
        <w:t xml:space="preserve"> </w:t>
      </w:r>
      <w:r>
        <w:rPr>
          <w:bCs/>
          <w:b/>
        </w:rPr>
        <w:t xml:space="preserve">dfrelukhvn</w:t>
      </w:r>
      <w:r>
        <w:t xml:space="preserve">. The analysis adheres to the Greenhouse Gas (GHG) Protocol standards, encompassing emissions across the product\'s entire lifecycle. This assessment incorporates the latest requirements, including a conceptual application of the 2026 Land Sector and Removals (LSR) Standard update and the stringent 95% Scope 3 coverage requirement.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for</w:t>
      </w:r>
      <w:r>
        <w:t xml:space="preserve"> </w:t>
      </w:r>
      <w:r>
        <w:rPr>
          <w:bCs/>
          <w:b/>
        </w:rPr>
        <w:t xml:space="preserve">pkhfvnepgu</w:t>
      </w:r>
      <w:r>
        <w:t xml:space="preserve">, a product of</w:t>
      </w:r>
      <w:r>
        <w:t xml:space="preserve"> </w:t>
      </w:r>
      <w:r>
        <w:rPr>
          <w:bCs/>
          <w:b/>
        </w:rPr>
        <w:t xml:space="preserve">dfrelukhvn</w:t>
      </w:r>
      <w:r>
        <w:t xml:space="preserve">, has been calculated on a cradle-to-grave basis, following the GHG Protocol Product Standard. The analysis reveals that the majority of emissions originate from the upstream supply chain, particularly material acquisition and manufacturing, followed by the use phase and transportation. The total estimated PCF for one functional unit of pkhfvnepgu is</w:t>
      </w:r>
      <w:r>
        <w:t xml:space="preserve"> </w:t>
      </w:r>
      <w:r>
        <w:rPr>
          <w:bCs/>
          <w:b/>
        </w:rPr>
        <w:t xml:space="preserve">[Calculated Total PCF] kg CO2e</w:t>
      </w:r>
      <w:r>
        <w:t xml:space="preserve">. Key hotspots have been identified to guide targeted reduction strategies for</w:t>
      </w:r>
      <w:r>
        <w:t xml:space="preserve"> </w:t>
      </w:r>
      <w:r>
        <w:rPr>
          <w:bCs/>
          <w:b/>
        </w:rPr>
        <w:t xml:space="preserve">dfrelukhvn</w:t>
      </w:r>
      <w:r>
        <w:t xml:space="preserve">, emphasizing the importance of sustainable material sourcing, energy efficiency in production, and optimizing end-of-life pathways.</w:t>
      </w:r>
    </w:p>
    <w:p>
      <w:r>
        <w:pict>
          <v:rect style="width:0;height:1.5pt" o:hralign="center" o:hrstd="t" o:hr="t"/>
        </w:pict>
      </w:r>
    </w:p>
    <w:bookmarkEnd w:id="21"/>
    <w:bookmarkStart w:id="27" w:name="defining-scope"/>
    <w:p>
      <w:pPr>
        <w:pStyle w:val="Heading2"/>
      </w:pPr>
      <w:r>
        <w:t xml:space="preserve">1. Defining Scope</w:t>
      </w:r>
    </w:p>
    <w:p>
      <w:pPr>
        <w:pStyle w:val="FirstParagraph"/>
      </w:pPr>
      <w:r>
        <w:t xml:space="preserve">This initial phase establishes the boundaries and parameters for the Product Carbon Footprint calculation, ensuring a consistent and comprehensive assessment in accordance with the</w:t>
      </w:r>
      <w:r>
        <w:t xml:space="preserve"> </w:t>
      </w:r>
      <w:r>
        <w:rPr>
          <w:bCs/>
          <w:b/>
        </w:rPr>
        <w:t xml:space="preserve">GHG Protocol</w:t>
      </w:r>
      <w:r>
        <w:t xml:space="preserve">.</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pkhfvnepgu</w:t>
      </w:r>
      <w:r>
        <w:t xml:space="preserve">. This unit serves as the reference basis for quantifying all environmental inputs and outputs throughout the product\'s lifecycle.</w:t>
      </w:r>
    </w:p>
    <w:bookmarkEnd w:id="22"/>
    <w:bookmarkStart w:id="23" w:name="system-boundaries"/>
    <w:p>
      <w:pPr>
        <w:pStyle w:val="Heading3"/>
      </w:pPr>
      <w:r>
        <w:t xml:space="preserve">1.2. System Boundaries</w:t>
      </w:r>
    </w:p>
    <w:p>
      <w:pPr>
        <w:pStyle w:val="FirstParagraph"/>
      </w:pPr>
      <w:r>
        <w:t xml:space="preserve">The system boundary for this PCF analysis is "Cradle-to-Grave". While the parameter initially specified "factory_gate" as the primary production boundary, a comprehensive PCF, as requested by other parameters (Use Phase, End-of-Life), necessitates a full lifecycle approach. This analysis therefore includes:</w:t>
      </w:r>
    </w:p>
    <w:p>
      <w:pPr>
        <w:numPr>
          <w:ilvl w:val="0"/>
          <w:numId w:val="1001"/>
        </w:numPr>
        <w:pStyle w:val="Compact"/>
      </w:pPr>
      <w:r>
        <w:rPr>
          <w:bCs/>
          <w:b/>
        </w:rPr>
        <w:t xml:space="preserve">Raw Material Acquisition:</w:t>
      </w:r>
      <w:r>
        <w:t xml:space="preserve"> </w:t>
      </w:r>
      <w:r>
        <w:t xml:space="preserve">Extraction and processing of raw materials.</w:t>
      </w:r>
    </w:p>
    <w:p>
      <w:pPr>
        <w:numPr>
          <w:ilvl w:val="0"/>
          <w:numId w:val="1001"/>
        </w:numPr>
        <w:pStyle w:val="Compact"/>
      </w:pPr>
      <w:r>
        <w:rPr>
          <w:bCs/>
          <w:b/>
        </w:rPr>
        <w:t xml:space="preserve">Manufacturing:</w:t>
      </w:r>
      <w:r>
        <w:t xml:space="preserve"> </w:t>
      </w:r>
      <w:r>
        <w:t xml:space="preserve">Production processes at the factory.</w:t>
      </w:r>
    </w:p>
    <w:p>
      <w:pPr>
        <w:numPr>
          <w:ilvl w:val="0"/>
          <w:numId w:val="1001"/>
        </w:numPr>
        <w:pStyle w:val="Compact"/>
      </w:pPr>
      <w:r>
        <w:rPr>
          <w:bCs/>
          <w:b/>
        </w:rPr>
        <w:t xml:space="preserve">Transportation:</w:t>
      </w:r>
      <w:r>
        <w:t xml:space="preserve"> </w:t>
      </w:r>
      <w:r>
        <w:t xml:space="preserve">Inbound logistics of materials to the factory, and outbound logistics of finished products to the customer.</w:t>
      </w:r>
    </w:p>
    <w:p>
      <w:pPr>
        <w:numPr>
          <w:ilvl w:val="0"/>
          <w:numId w:val="1001"/>
        </w:numPr>
        <w:pStyle w:val="Compact"/>
      </w:pPr>
      <w:r>
        <w:rPr>
          <w:bCs/>
          <w:b/>
        </w:rPr>
        <w:t xml:space="preserve">Use Phase:</w:t>
      </w:r>
      <w:r>
        <w:t xml:space="preserve"> </w:t>
      </w:r>
      <w:r>
        <w:t xml:space="preserve">Energy consumption and other impacts during the product\'s active use by the consumer.</w:t>
      </w:r>
    </w:p>
    <w:p>
      <w:pPr>
        <w:numPr>
          <w:ilvl w:val="0"/>
          <w:numId w:val="1001"/>
        </w:numPr>
        <w:pStyle w:val="Compact"/>
      </w:pPr>
      <w:r>
        <w:rPr>
          <w:bCs/>
          <w:b/>
        </w:rPr>
        <w:t xml:space="preserve">End-of-Life (EoL):</w:t>
      </w:r>
      <w:r>
        <w:t xml:space="preserve"> </w:t>
      </w:r>
      <w:r>
        <w:t xml:space="preserve">Disposal, recycling, or recovery processes at the end of the product\'s useful life.</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from and product distribution to Europe).</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 methodologies and principles outlined in the</w:t>
      </w:r>
      <w:r>
        <w:t xml:space="preserve"> </w:t>
      </w:r>
      <w:r>
        <w:rPr>
          <w:bCs/>
          <w:b/>
        </w:rPr>
        <w:t xml:space="preserve">GHG Protocol</w:t>
      </w:r>
      <w:r>
        <w:t xml:space="preserve">. This includes the categorization of emissions into Scope 1, Scope 2, and Scope 3, and the application of updates relevant to the 2026 reporting requirements, such as the Land Sector and Removals (LSR) Standard and stringent Scope 3 coverage.</w:t>
      </w:r>
    </w:p>
    <w:bookmarkEnd w:id="25"/>
    <w:bookmarkStart w:id="26" w:name="allocation"/>
    <w:p>
      <w:pPr>
        <w:pStyle w:val="Heading3"/>
      </w:pPr>
      <w:r>
        <w:t xml:space="preserve">1.5. Allocation</w:t>
      </w:r>
    </w:p>
    <w:p>
      <w:pPr>
        <w:pStyle w:val="FirstParagraph"/>
      </w:pPr>
      <w:r>
        <w:t xml:space="preserve">Emissions are allocated to the functional unit primarily based on mass for material inputs. Where multiple products share processes (e.g., manufacturing facilities, transport vehicles), economic allocation or other physical allocation methods (e.g., volume) would typically be considered, but for this specific product, a direct mass-based attribution is applied given the provided Bill of Materials format.</w:t>
      </w:r>
    </w:p>
    <w:p>
      <w:r>
        <w:pict>
          <v:rect style="width:0;height:1.5pt" o:hralign="center" o:hrstd="t" o:hr="t"/>
        </w:pict>
      </w:r>
    </w:p>
    <w:bookmarkEnd w:id="26"/>
    <w:bookmarkEnd w:id="27"/>
    <w:bookmarkStart w:id="37" w:name="Xa86f8c75c4343308d416591f92aa152eaa0a25e"/>
    <w:p>
      <w:pPr>
        <w:pStyle w:val="Heading2"/>
      </w:pPr>
      <w:r>
        <w:t xml:space="preserve">2. Mapping the Lifecycle &amp; 3. Data Collection (Illustrative)</w:t>
      </w:r>
    </w:p>
    <w:p>
      <w:pPr>
        <w:pStyle w:val="FirstParagraph"/>
      </w:pPr>
      <w:r>
        <w:t xml:space="preserve">This section details the lifecycle stages and the data inputs used for calculating the PCF. Given that several parameters were provided as placeholders, illustrative data is utilized for calculation demonstration. These assumptions are clearly stated below.</w:t>
      </w:r>
    </w:p>
    <w:bookmarkStart w:id="29" w:name="X4ea726bf608d4748e21435057f9595b7140dae1"/>
    <w:p>
      <w:pPr>
        <w:pStyle w:val="Heading3"/>
      </w:pPr>
      <w:r>
        <w:t xml:space="preserve">3.1. Raw Material Acquisition and Pre-processing (Scope 3 Upstream - Purchased Goods and Services)</w:t>
      </w:r>
    </w:p>
    <w:p>
      <w:pPr>
        <w:pStyle w:val="FirstParagraph"/>
      </w:pPr>
      <w:r>
        <w:t xml:space="preserve">The raw materials constitute a significant portion of the upstream emissions. The provided Detailed Bill of Materials (BOM) is indicated by the placeholder `dtoqjsyj`. For the purpose of this illustrative analysis, a representative BOM has been constructed using industry-standard emission factors, conceptually drawing from databases like Ecoinvent and DEFRA.</w:t>
      </w:r>
    </w:p>
    <w:bookmarkStart w:id="28" w:name="Xffaabf1356d797c791e367e4bee2dcabb94c250"/>
    <w:p>
      <w:pPr>
        <w:pStyle w:val="Heading4"/>
      </w:pPr>
      <w:r>
        <w:t xml:space="preserve">Illustrative Detailed Bill of Materials (BOM) for pkhfvnepgu</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Metal Fabrication</w:t>
            </w:r>
          </w:p>
        </w:tc>
        <w:tc>
          <w:tcPr/>
          <w:p>
            <w:pPr>
              <w:pStyle w:val="Compact"/>
              <w:jc w:val="left"/>
            </w:pPr>
            <w:r>
              <w:t xml:space="preserve">1.20</w:t>
            </w:r>
          </w:p>
        </w:tc>
        <w:tc>
          <w:tcPr/>
          <w:p>
            <w:pPr>
              <w:pStyle w:val="Compact"/>
              <w:jc w:val="left"/>
            </w:pPr>
            <w:r>
              <w:t xml:space="preserve">kg</w:t>
            </w:r>
          </w:p>
        </w:tc>
        <w:tc>
          <w:tcPr/>
          <w:p>
            <w:pPr>
              <w:pStyle w:val="Compact"/>
              <w:jc w:val="left"/>
            </w:pPr>
            <w:r>
              <w:t xml:space="preserve">2.50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0.70</w:t>
            </w:r>
          </w:p>
        </w:tc>
        <w:tc>
          <w:tcPr/>
          <w:p>
            <w:pPr>
              <w:pStyle w:val="Compact"/>
              <w:jc w:val="left"/>
            </w:pPr>
            <w:r>
              <w:t xml:space="preserve">kg</w:t>
            </w:r>
          </w:p>
        </w:tc>
        <w:tc>
          <w:tcPr/>
          <w:p>
            <w:pPr>
              <w:pStyle w:val="Compact"/>
              <w:jc w:val="left"/>
            </w:pPr>
            <w:r>
              <w:t xml:space="preserve">4.00</w:t>
            </w:r>
          </w:p>
        </w:tc>
        <w:tc>
          <w:tcPr/>
          <w:p>
            <w:pPr>
              <w:pStyle w:val="Compact"/>
              <w:jc w:val="left"/>
            </w:pPr>
            <w:r>
              <w:t xml:space="preserve">2.80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0.45</w:t>
            </w:r>
          </w:p>
        </w:tc>
      </w:tr>
      <w:tr>
        <w:tc>
          <w:tcPr/>
          <w:p>
            <w:pPr>
              <w:pStyle w:val="Compact"/>
              <w:jc w:val="left"/>
            </w:pPr>
            <w:r>
              <w:t xml:space="preserve">M004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30.00</w:t>
            </w:r>
          </w:p>
        </w:tc>
        <w:tc>
          <w:tcPr/>
          <w:p>
            <w:pPr>
              <w:pStyle w:val="Compact"/>
              <w:jc w:val="left"/>
            </w:pPr>
            <w:r>
              <w:t xml:space="preserve">1.50</w:t>
            </w:r>
          </w:p>
        </w:tc>
      </w:tr>
      <w:tr>
        <w:tc>
          <w:tcPr>
            <w:gridSpan w:val="4"/>
          </w:tcPr>
          <w:p>
            <w:pPr>
              <w:pStyle w:val="Compact"/>
              <w:jc w:val="left"/>
            </w:pPr>
            <w:r>
              <w:rPr>
                <w:bCs/>
                <w:b/>
              </w:rPr>
              <w:t xml:space="preserve">Total Illustrative Material Mass (approx.)</w:t>
            </w:r>
          </w:p>
        </w:tc>
        <w:tc>
          <w:tcPr/>
          <w:p>
            <w:pPr>
              <w:pStyle w:val="Compact"/>
              <w:jc w:val="left"/>
            </w:pPr>
            <w:r>
              <w:rPr>
                <w:bCs/>
                <w:b/>
              </w:rPr>
              <w:t xml:space="preserve">2.05 kg</w:t>
            </w:r>
          </w:p>
        </w:tc>
        <w:tc>
          <w:tcPr/>
          <w:p>
            <w:pPr>
              <w:pStyle w:val="Compact"/>
            </w:pPr>
          </w:p>
        </w:tc>
        <w:tc>
          <w:tcPr/>
          <w:p>
            <w:pPr>
              <w:pStyle w:val="Compact"/>
            </w:pPr>
          </w:p>
        </w:tc>
        <w:tc>
          <w:tcPr/>
          <w:p>
            <w:pPr>
              <w:pStyle w:val="Compact"/>
            </w:pPr>
          </w:p>
        </w:tc>
      </w:tr>
      <w:tr>
        <w:tc>
          <w:tcPr>
            <w:gridSpan w:val="6"/>
          </w:tcPr>
          <w:p>
            <w:pPr>
              <w:pStyle w:val="Compact"/>
              <w:jc w:val="left"/>
            </w:pPr>
            <w:r>
              <w:rPr>
                <w:bCs/>
                <w:b/>
              </w:rPr>
              <w:t xml:space="preserve">Total Illustrative Material Emissions</w:t>
            </w:r>
          </w:p>
        </w:tc>
        <w:tc>
          <w:tcPr/>
          <w:p>
            <w:pPr>
              <w:pStyle w:val="Compact"/>
            </w:pPr>
          </w:p>
        </w:tc>
        <w:tc>
          <w:tcPr/>
          <w:p>
            <w:pPr>
              <w:pStyle w:val="Compact"/>
              <w:jc w:val="left"/>
            </w:pPr>
            <w:r>
              <w:rPr>
                <w:bCs/>
                <w:b/>
              </w:rPr>
              <w:t xml:space="preserve">7.75 kgCO2e</w:t>
            </w:r>
          </w:p>
        </w:tc>
      </w:tr>
    </w:tbl>
    <w:p>
      <w:pPr>
        <w:pStyle w:val="BodyText"/>
      </w:pPr>
      <w:r>
        <w:rPr>
          <w:iCs/>
          <w:i/>
        </w:rPr>
        <w:t xml:space="preserve">Assumption: The total product weight is approximated to 2.5 kg for subsequent transport and EoL calculations, to account for minor components not listed in the simplified BOM.</w:t>
      </w:r>
    </w:p>
    <w:bookmarkEnd w:id="28"/>
    <w:bookmarkEnd w:id="29"/>
    <w:bookmarkStart w:id="30" w:name="X8e5ecf41d220edddc5fbc6d13004487b41b73d9"/>
    <w:p>
      <w:pPr>
        <w:pStyle w:val="Heading3"/>
      </w:pPr>
      <w:r>
        <w:t xml:space="preserve">3.2. Manufacturing (Scope 2 - Purchased Electricity; Scope 1 - Direct Emissions)</w:t>
      </w:r>
    </w:p>
    <w:p>
      <w:pPr>
        <w:pStyle w:val="FirstParagraph"/>
      </w:pPr>
      <w:r>
        <w:t xml:space="preserve">The manufacturing process takes place in China. Energy consumption is a key driver of emissions in this phase.</w:t>
      </w:r>
    </w:p>
    <w:p>
      <w:pPr>
        <w:numPr>
          <w:ilvl w:val="0"/>
          <w:numId w:val="1003"/>
        </w:numPr>
        <w:pStyle w:val="Compact"/>
      </w:pPr>
      <w:r>
        <w:rPr>
          <w:bCs/>
          <w:b/>
        </w:rPr>
        <w:t xml:space="preserve">Energy Intensity (kWh/unit):</w:t>
      </w:r>
      <w:r>
        <w:t xml:space="preserve"> </w:t>
      </w:r>
      <w:r>
        <w:t xml:space="preserve">`unzxvmuweg` (Illustrative: 8 kWh/unit)</w:t>
      </w:r>
    </w:p>
    <w:p>
      <w:pPr>
        <w:numPr>
          <w:ilvl w:val="0"/>
          <w:numId w:val="1003"/>
        </w:numPr>
        <w:pStyle w:val="Compact"/>
      </w:pPr>
      <w:r>
        <w:rPr>
          <w:bCs/>
          <w:b/>
        </w:rPr>
        <w:t xml:space="preserve">Renewable Energy Usage:</w:t>
      </w:r>
      <w:r>
        <w:t xml:space="preserve"> </w:t>
      </w:r>
      <w:r>
        <w:t xml:space="preserve">`lnnfgtffuh` (Illustrative: 40% renewable electricity usage for production)</w:t>
      </w:r>
    </w:p>
    <w:p>
      <w:pPr>
        <w:numPr>
          <w:ilvl w:val="0"/>
          <w:numId w:val="1003"/>
        </w:numPr>
        <w:pStyle w:val="Compact"/>
      </w:pPr>
      <w:r>
        <w:rPr>
          <w:bCs/>
          <w:b/>
        </w:rPr>
        <w:t xml:space="preserve">China Grid Emission Factor (Illustrative):</w:t>
      </w:r>
      <w:r>
        <w:t xml:space="preserve"> </w:t>
      </w:r>
      <w:r>
        <w:t xml:space="preserve">0.65 kgCO2e/kWh for non-renewable electricity.</w:t>
      </w:r>
    </w:p>
    <w:p>
      <w:pPr>
        <w:pStyle w:val="FirstParagraph"/>
      </w:pPr>
      <w:r>
        <w:rPr>
          <w:iCs/>
          <w:i/>
        </w:rPr>
        <w:t xml:space="preserve">Assumption: Direct Scope 1 emissions from on-site fuel combustion are considered negligible for this product\'s manufacturing process, as no specific data was provided.</w:t>
      </w:r>
    </w:p>
    <w:bookmarkEnd w:id="30"/>
    <w:bookmarkStart w:id="32" w:name="Xa72cd89f200eee69afd134ad22c65583d62e21f"/>
    <w:p>
      <w:pPr>
        <w:pStyle w:val="Heading3"/>
      </w:pPr>
      <w:r>
        <w:t xml:space="preserve">3.3. Transportation (Scope 3 Upstream &amp; Downstream)</w:t>
      </w:r>
    </w:p>
    <w:p>
      <w:pPr>
        <w:pStyle w:val="FirstParagraph"/>
      </w:pPr>
      <w:r>
        <w:t xml:space="preserve">Logistics play a critical role in the product\'s overall footprint, covering both inbound materials and outbound finished products. Generic emission factors for transport are applied, conceptually referencing sources like DEFRA.</w:t>
      </w:r>
    </w:p>
    <w:p>
      <w:pPr>
        <w:numPr>
          <w:ilvl w:val="0"/>
          <w:numId w:val="1004"/>
        </w:numPr>
        <w:pStyle w:val="Compact"/>
      </w:pPr>
      <w:r>
        <w:rPr>
          <w:bCs/>
          <w:b/>
        </w:rPr>
        <w:t xml:space="preserve">Transport Mode:</w:t>
      </w:r>
      <w:r>
        <w:t xml:space="preserve"> </w:t>
      </w:r>
      <w:r>
        <w:t xml:space="preserve">`Select Mode` (Illustrative: Sea freight for long-haul, Heavy-duty truck for regional distribution)</w:t>
      </w:r>
    </w:p>
    <w:p>
      <w:pPr>
        <w:numPr>
          <w:ilvl w:val="0"/>
          <w:numId w:val="1004"/>
        </w:numPr>
        <w:pStyle w:val="Compact"/>
      </w:pPr>
      <w:r>
        <w:rPr>
          <w:bCs/>
          <w:b/>
        </w:rPr>
        <w:t xml:space="preserve">Transport Distance:</w:t>
      </w:r>
      <w:r>
        <w:t xml:space="preserve"> </w:t>
      </w:r>
      <w:r>
        <w:t xml:space="preserve">`rjuwkioyer` (Illustrative: Inbound 15,000 km by sea; Outbound 15,000 km by sea to Europe, then 500 km by heavy-duty truck for regional/last-mile delivery).</w:t>
      </w:r>
    </w:p>
    <w:p>
      <w:pPr>
        <w:numPr>
          <w:ilvl w:val="0"/>
          <w:numId w:val="1004"/>
        </w:numPr>
        <w:pStyle w:val="Compact"/>
      </w:pPr>
      <w:r>
        <w:rPr>
          <w:bCs/>
          <w:b/>
        </w:rPr>
        <w:t xml:space="preserve">Last-Mile Delivery Channel:</w:t>
      </w:r>
      <w:r>
        <w:t xml:space="preserve"> </w:t>
      </w:r>
      <w:r>
        <w:t xml:space="preserve">`Delivery Type` (Illustrative: Standard Parcel Delivery (Road)).</w:t>
      </w:r>
    </w:p>
    <w:p>
      <w:pPr>
        <w:numPr>
          <w:ilvl w:val="0"/>
          <w:numId w:val="1004"/>
        </w:numPr>
        <w:pStyle w:val="Compact"/>
      </w:pPr>
      <w:r>
        <w:rPr>
          <w:bCs/>
          <w:b/>
        </w:rPr>
        <w:t xml:space="preserve">Product Weight for Transport:</w:t>
      </w:r>
      <w:r>
        <w:t xml:space="preserve"> </w:t>
      </w:r>
      <w:r>
        <w:t xml:space="preserve">2.5 kg/unit (assumed).</w:t>
      </w:r>
    </w:p>
    <w:bookmarkStart w:id="31" w:name="illustrative-transport-emission-factors"/>
    <w:p>
      <w:pPr>
        <w:pStyle w:val="Heading4"/>
      </w:pPr>
      <w:r>
        <w:t xml:space="preserve">Illustrative Transport Emission Factors:</w:t>
      </w:r>
    </w:p>
    <w:p>
      <w:pPr>
        <w:numPr>
          <w:ilvl w:val="0"/>
          <w:numId w:val="1005"/>
        </w:numPr>
        <w:pStyle w:val="Compact"/>
      </w:pPr>
      <w:r>
        <w:t xml:space="preserve">Sea Freight: 0.01 kgCO2e/tonne-km</w:t>
      </w:r>
    </w:p>
    <w:p>
      <w:pPr>
        <w:numPr>
          <w:ilvl w:val="0"/>
          <w:numId w:val="1005"/>
        </w:numPr>
        <w:pStyle w:val="Compact"/>
      </w:pPr>
      <w:r>
        <w:t xml:space="preserve">Heavy-duty Truck: 0.1 kgCO2e/tonne-km</w:t>
      </w:r>
    </w:p>
    <w:p>
      <w:pPr>
        <w:numPr>
          <w:ilvl w:val="0"/>
          <w:numId w:val="1005"/>
        </w:numPr>
        <w:pStyle w:val="Compact"/>
      </w:pPr>
      <w:r>
        <w:t xml:space="preserve">Standard Parcel Delivery (Road, last-mile, as an average per kg-km contribution over 500km): 0.2 kgCO2e/kg-km</w:t>
      </w:r>
    </w:p>
    <w:bookmarkEnd w:id="31"/>
    <w:bookmarkEnd w:id="32"/>
    <w:bookmarkStart w:id="33" w:name="X8e3565fa06842acc6c3c1d6806c7f377676bf97"/>
    <w:p>
      <w:pPr>
        <w:pStyle w:val="Heading3"/>
      </w:pPr>
      <w:r>
        <w:t xml:space="preserve">3.4. Use Phase (Scope 3 Downstream - Use of Sold Products)</w:t>
      </w:r>
    </w:p>
    <w:p>
      <w:pPr>
        <w:pStyle w:val="FirstParagraph"/>
      </w:pPr>
      <w:r>
        <w:t xml:space="preserve">The energy consumed during the product\'s lifespan significantly contributes to its environmental impact.</w:t>
      </w:r>
    </w:p>
    <w:p>
      <w:pPr>
        <w:numPr>
          <w:ilvl w:val="0"/>
          <w:numId w:val="1006"/>
        </w:numPr>
        <w:pStyle w:val="Compact"/>
      </w:pPr>
      <w:r>
        <w:rPr>
          <w:bCs/>
          <w:b/>
        </w:rPr>
        <w:t xml:space="preserve">Product Lifespan:</w:t>
      </w:r>
      <w:r>
        <w:t xml:space="preserve"> </w:t>
      </w:r>
      <w:r>
        <w:t xml:space="preserve">`kgxqttmdpq` (Illustrative: 7 years)</w:t>
      </w:r>
    </w:p>
    <w:p>
      <w:pPr>
        <w:numPr>
          <w:ilvl w:val="0"/>
          <w:numId w:val="1006"/>
        </w:numPr>
        <w:pStyle w:val="Compact"/>
      </w:pPr>
      <w:r>
        <w:rPr>
          <w:bCs/>
          <w:b/>
        </w:rPr>
        <w:t xml:space="preserve">Energy Consumption in Use:</w:t>
      </w:r>
      <w:r>
        <w:t xml:space="preserve"> </w:t>
      </w:r>
      <w:r>
        <w:t xml:space="preserve">`uvsunzexxu` (Illustrative: 15 kWh/year)</w:t>
      </w:r>
    </w:p>
    <w:p>
      <w:pPr>
        <w:numPr>
          <w:ilvl w:val="0"/>
          <w:numId w:val="1006"/>
        </w:numPr>
        <w:pStyle w:val="Compact"/>
      </w:pPr>
      <w:r>
        <w:rPr>
          <w:bCs/>
          <w:b/>
        </w:rPr>
        <w:t xml:space="preserve">Generic EU Electricity Grid Emission Factor (Illustrative):</w:t>
      </w:r>
      <w:r>
        <w:t xml:space="preserve"> </w:t>
      </w:r>
      <w:r>
        <w:t xml:space="preserve">0.25 kgCO2e/kWh (assuming the product is primarily used in Europe).</w:t>
      </w:r>
    </w:p>
    <w:bookmarkEnd w:id="33"/>
    <w:bookmarkStart w:id="35" w:name="X635c55be8622f98e3c63293c2af4c868c47ddfc"/>
    <w:p>
      <w:pPr>
        <w:pStyle w:val="Heading3"/>
      </w:pPr>
      <w:r>
        <w:t xml:space="preserve">3.5. End-of-Life (EoL) (Scope 3 Downstream - End-of-Life Treatment of Sold Products)</w:t>
      </w:r>
    </w:p>
    <w:p>
      <w:pPr>
        <w:pStyle w:val="FirstParagraph"/>
      </w:pPr>
      <w:r>
        <w:t xml:space="preserve">The management of the product at the end of its useful life impacts the overall footprint, including recycling and disposal. Emissions from End-of-Life treatment are calculated under Scope 3, Category 12 of the GHG Protocol.</w:t>
      </w:r>
    </w:p>
    <w:p>
      <w:pPr>
        <w:numPr>
          <w:ilvl w:val="0"/>
          <w:numId w:val="1007"/>
        </w:numPr>
        <w:pStyle w:val="Compact"/>
      </w:pPr>
      <w:r>
        <w:rPr>
          <w:bCs/>
          <w:b/>
        </w:rPr>
        <w:t xml:space="preserve">Recyclability Percentage:</w:t>
      </w:r>
      <w:r>
        <w:t xml:space="preserve"> </w:t>
      </w:r>
      <w:r>
        <w:t xml:space="preserve">`oyowrhjydk` (Illustrative: 60%)</w:t>
      </w:r>
    </w:p>
    <w:p>
      <w:pPr>
        <w:numPr>
          <w:ilvl w:val="0"/>
          <w:numId w:val="1007"/>
        </w:numPr>
        <w:pStyle w:val="Compact"/>
      </w:pPr>
      <w:r>
        <w:rPr>
          <w:bCs/>
          <w:b/>
        </w:rPr>
        <w:t xml:space="preserve">Circular/Take-back Programs:</w:t>
      </w:r>
      <w:r>
        <w:t xml:space="preserve"> </w:t>
      </w:r>
      <w:r>
        <w:t xml:space="preserve">`gmrfuliodr` (Illustrative: "Active take-back program for key components.")</w:t>
      </w:r>
    </w:p>
    <w:p>
      <w:pPr>
        <w:numPr>
          <w:ilvl w:val="0"/>
          <w:numId w:val="1007"/>
        </w:numPr>
        <w:pStyle w:val="Compact"/>
      </w:pPr>
      <w:r>
        <w:rPr>
          <w:bCs/>
          <w:b/>
        </w:rPr>
        <w:t xml:space="preserve">Product Weight for EoL:</w:t>
      </w:r>
      <w:r>
        <w:t xml:space="preserve"> </w:t>
      </w:r>
      <w:r>
        <w:t xml:space="preserve">2.5 kg/unit (assumed).</w:t>
      </w:r>
    </w:p>
    <w:bookmarkStart w:id="34" w:name="Xed7d053cb0c00b1e33b41c3da35ec32a8db81a9"/>
    <w:p>
      <w:pPr>
        <w:pStyle w:val="Heading4"/>
      </w:pPr>
      <w:r>
        <w:t xml:space="preserve">Illustrative EoL Emission Factors and Credits:</w:t>
      </w:r>
    </w:p>
    <w:p>
      <w:pPr>
        <w:numPr>
          <w:ilvl w:val="0"/>
          <w:numId w:val="1008"/>
        </w:numPr>
        <w:pStyle w:val="Compact"/>
      </w:pPr>
      <w:r>
        <w:t xml:space="preserve">Landfill/Incineration (for non-recycled portion, e.g., 40%): 0.5 kgCO2e/kg</w:t>
      </w:r>
    </w:p>
    <w:p>
      <w:pPr>
        <w:numPr>
          <w:ilvl w:val="0"/>
          <w:numId w:val="1008"/>
        </w:numPr>
        <w:pStyle w:val="Compact"/>
      </w:pPr>
      <w:r>
        <w:t xml:space="preserve">Recycling Credit (for recycled portion, e.g., 60%, representing avoided virgin material production): -1.0 kgCO2e/kg (simplified avoided emissions, as recycling processes themselves also have emissions).</w:t>
      </w:r>
    </w:p>
    <w:bookmarkEnd w:id="34"/>
    <w:bookmarkEnd w:id="35"/>
    <w:bookmarkStart w:id="36" w:name="X4445851c14d44f9a23021f1d53388bca2c4dd3d"/>
    <w:p>
      <w:pPr>
        <w:pStyle w:val="Heading3"/>
      </w:pPr>
      <w:r>
        <w:t xml:space="preserve">3.6. Land Sector and Removals (LSR) Standard (2026 Update)</w:t>
      </w:r>
    </w:p>
    <w:p>
      <w:pPr>
        <w:pStyle w:val="FirstParagraph"/>
      </w:pPr>
      <w:r>
        <w:t xml:space="preserve">The GHG Protocol\'s Land Sector and Removals (LSR) Standard, effective January 1, 2027, provides requirements for accounting for land sector emissions (e.g., land use change, land management) and CO2 removals. For</w:t>
      </w:r>
      <w:r>
        <w:t xml:space="preserve"> </w:t>
      </w:r>
      <w:r>
        <w:rPr>
          <w:bCs/>
          <w:b/>
        </w:rPr>
        <w:t xml:space="preserve">pkhfvnepgu</w:t>
      </w:r>
      <w:r>
        <w:t xml:space="preserve">, a manufactured product, direct land-use change from company-owned operations is assumed to be minimal. However, its relevance lies primarily in the upstream supply chain, particularly for raw materials derived from agriculture or forestry (e.g., bio-based plastics, paper packaging).</w:t>
      </w:r>
      <w:r>
        <w:t xml:space="preserve"> </w:t>
      </w:r>
      <w:r>
        <w:rPr>
          <w:bCs/>
          <w:b/>
        </w:rPr>
        <w:t xml:space="preserve">dfrelukhvn</w:t>
      </w:r>
      <w:r>
        <w:t xml:space="preserve"> </w:t>
      </w:r>
      <w:r>
        <w:t xml:space="preserve">acknowledges the importance of tracing land-related impacts for such materials and will work towards integrating LSR-compliant data as it becomes more readily available throughout its supply chain, especially for components that are biomass-derived or from land-intensive processes. The 2026 update emphasizes the need for transparency and robust accounting for land-related emissions and removals, which will be critical for future supply chain engagement.</w:t>
      </w:r>
    </w:p>
    <w:p>
      <w:r>
        <w:pict>
          <v:rect style="width:0;height:1.5pt" o:hralign="center" o:hrstd="t" o:hr="t"/>
        </w:pict>
      </w:r>
    </w:p>
    <w:bookmarkEnd w:id="36"/>
    <w:bookmarkEnd w:id="37"/>
    <w:bookmarkStart w:id="46" w:name="calculating-emissions-illustrative"/>
    <w:p>
      <w:pPr>
        <w:pStyle w:val="Heading2"/>
      </w:pPr>
      <w:r>
        <w:t xml:space="preserve">4. Calculating Emissions (Illustrative)</w:t>
      </w:r>
    </w:p>
    <w:p>
      <w:pPr>
        <w:pStyle w:val="FirstParagraph"/>
      </w:pPr>
      <w:r>
        <w:t xml:space="preserve">Based on the illustrative data collected, the emissions for each lifecycle stage and GHG Protocol scope are calculated below.</w:t>
      </w:r>
    </w:p>
    <w:bookmarkStart w:id="43" w:name="calculation-by-lifecycle-stage"/>
    <w:p>
      <w:pPr>
        <w:pStyle w:val="Heading3"/>
      </w:pPr>
      <w:r>
        <w:t xml:space="preserve">4.1. Calculation by Lifecycle Stage</w:t>
      </w:r>
    </w:p>
    <w:bookmarkStart w:id="38" w:name="X5249fcce3e16fb49aeaef1e14a4852057ed9683"/>
    <w:p>
      <w:pPr>
        <w:pStyle w:val="Heading4"/>
      </w:pPr>
      <w:r>
        <w:t xml:space="preserve">A. Raw Material Acquisition and Pre-processing (Scope 3 Upstream)</w:t>
      </w:r>
    </w:p>
    <w:p>
      <w:pPr>
        <w:pStyle w:val="FirstParagraph"/>
      </w:pPr>
      <w:r>
        <w:t xml:space="preserve">Total Illustrative Material Emissions: 7.75 kgCO2e</w:t>
      </w:r>
    </w:p>
    <w:bookmarkEnd w:id="38"/>
    <w:bookmarkStart w:id="39" w:name="X0d1429cdd34a13f5fe5365a0d77f4c9cd25131e"/>
    <w:p>
      <w:pPr>
        <w:pStyle w:val="Heading4"/>
      </w:pPr>
      <w:r>
        <w:t xml:space="preserve">B. Manufacturing (Scope 2 &amp; Scope 3 Upstream)</w:t>
      </w:r>
    </w:p>
    <w:p>
      <w:pPr>
        <w:numPr>
          <w:ilvl w:val="0"/>
          <w:numId w:val="1009"/>
        </w:numPr>
        <w:pStyle w:val="Compact"/>
      </w:pPr>
      <w:r>
        <w:t xml:space="preserve">Total Energy Consumed: 8 kWh/unit</w:t>
      </w:r>
    </w:p>
    <w:p>
      <w:pPr>
        <w:numPr>
          <w:ilvl w:val="0"/>
          <w:numId w:val="1009"/>
        </w:numPr>
        <w:pStyle w:val="Compact"/>
      </w:pPr>
      <w:r>
        <w:t xml:space="preserve">Renewable Energy Share: 40%</w:t>
      </w:r>
    </w:p>
    <w:p>
      <w:pPr>
        <w:numPr>
          <w:ilvl w:val="0"/>
          <w:numId w:val="1009"/>
        </w:numPr>
        <w:pStyle w:val="Compact"/>
      </w:pPr>
      <w:r>
        <w:t xml:space="preserve">Non-Renewable Energy Share: 60% (1 - 0.40)</w:t>
      </w:r>
    </w:p>
    <w:p>
      <w:pPr>
        <w:numPr>
          <w:ilvl w:val="0"/>
          <w:numId w:val="1009"/>
        </w:numPr>
        <w:pStyle w:val="Compact"/>
      </w:pPr>
      <w:r>
        <w:t xml:space="preserve">Non-Renewable Energy Consumed: 8 kWh/unit * 0.60 = 4.8 kWh/unit</w:t>
      </w:r>
    </w:p>
    <w:p>
      <w:pPr>
        <w:numPr>
          <w:ilvl w:val="0"/>
          <w:numId w:val="1009"/>
        </w:numPr>
        <w:pStyle w:val="Compact"/>
      </w:pPr>
      <w:r>
        <w:t xml:space="preserve">Emissions from Non-Renewable Electricity (Scope 2): 4.8 kWh/unit * 0.65 kgCO2e/kWh = 3.12 kgCO2e</w:t>
      </w:r>
    </w:p>
    <w:p>
      <w:pPr>
        <w:numPr>
          <w:ilvl w:val="0"/>
          <w:numId w:val="1009"/>
        </w:numPr>
        <w:pStyle w:val="Compact"/>
      </w:pPr>
      <w:r>
        <w:t xml:space="preserve">Emissions from Renewable Electricity (Scope 2): 0 kgCO2e (assuming zero emissions at point of use for certified renewables)</w:t>
      </w:r>
    </w:p>
    <w:p>
      <w:pPr>
        <w:numPr>
          <w:ilvl w:val="0"/>
          <w:numId w:val="1009"/>
        </w:numPr>
        <w:pStyle w:val="Compact"/>
      </w:pPr>
      <w:r>
        <w:rPr>
          <w:bCs/>
          <w:b/>
        </w:rPr>
        <w:t xml:space="preserve">Total Manufacturing Emissions: 3.12 kgCO2e</w:t>
      </w:r>
    </w:p>
    <w:p>
      <w:pPr>
        <w:pStyle w:val="FirstParagraph"/>
      </w:pPr>
      <w:r>
        <w:rPr>
          <w:iCs/>
          <w:i/>
        </w:rPr>
        <w:t xml:space="preserve">Note: Upstream fuel- and energy-related emissions not included in Scope 2 (e.g., transmission and distribution losses) would typically be accounted for in Scope 3, Category 3. For simplicity in this illustrative example, only direct purchased electricity emissions are calculated under Scope 2.</w:t>
      </w:r>
    </w:p>
    <w:bookmarkEnd w:id="39"/>
    <w:bookmarkStart w:id="40" w:name="X21b82e468b34cd27f56c5227ce97f318e5781bc"/>
    <w:p>
      <w:pPr>
        <w:pStyle w:val="Heading4"/>
      </w:pPr>
      <w:r>
        <w:t xml:space="preserve">C. Transportation (Scope 3 Upstream &amp; Downstream)</w:t>
      </w:r>
    </w:p>
    <w:p>
      <w:pPr>
        <w:numPr>
          <w:ilvl w:val="0"/>
          <w:numId w:val="1010"/>
        </w:numPr>
        <w:pStyle w:val="Compact"/>
      </w:pPr>
      <w:r>
        <w:t xml:space="preserve">Product Weight: 2.5 kg (0.0025 tonnes)</w:t>
      </w:r>
    </w:p>
    <w:p>
      <w:pPr>
        <w:numPr>
          <w:ilvl w:val="0"/>
          <w:numId w:val="1010"/>
        </w:numPr>
        <w:pStyle w:val="Compact"/>
      </w:pPr>
      <w:r>
        <w:rPr>
          <w:bCs/>
          <w:b/>
        </w:rPr>
        <w:t xml:space="preserve">Inbound Transport (Materials to China factory - assumed from Europe):</w:t>
      </w:r>
    </w:p>
    <w:p>
      <w:pPr>
        <w:numPr>
          <w:ilvl w:val="1"/>
          <w:numId w:val="1011"/>
        </w:numPr>
        <w:pStyle w:val="Compact"/>
      </w:pPr>
      <w:r>
        <w:t xml:space="preserve">Distance: 15,000 km (Sea Freight)</w:t>
      </w:r>
    </w:p>
    <w:p>
      <w:pPr>
        <w:numPr>
          <w:ilvl w:val="1"/>
          <w:numId w:val="1011"/>
        </w:numPr>
        <w:pStyle w:val="Compact"/>
      </w:pPr>
      <w:r>
        <w:t xml:space="preserve">Emissions: 0.0025 tonnes * 15,000 km * 0.01 kgCO2e/tonne-km = 0.375 kgCO2e</w:t>
      </w:r>
    </w:p>
    <w:p>
      <w:pPr>
        <w:numPr>
          <w:ilvl w:val="0"/>
          <w:numId w:val="1010"/>
        </w:numPr>
        <w:pStyle w:val="Compact"/>
      </w:pPr>
      <w:r>
        <w:rPr>
          <w:bCs/>
          <w:b/>
        </w:rPr>
        <w:t xml:space="preserve">Outbound Transport (Product from China factory to European Distribution Center):</w:t>
      </w:r>
    </w:p>
    <w:p>
      <w:pPr>
        <w:numPr>
          <w:ilvl w:val="1"/>
          <w:numId w:val="1012"/>
        </w:numPr>
        <w:pStyle w:val="Compact"/>
      </w:pPr>
      <w:r>
        <w:t xml:space="preserve">Distance: 15,000 km (Sea Freight)</w:t>
      </w:r>
    </w:p>
    <w:p>
      <w:pPr>
        <w:numPr>
          <w:ilvl w:val="1"/>
          <w:numId w:val="1012"/>
        </w:numPr>
        <w:pStyle w:val="Compact"/>
      </w:pPr>
      <w:r>
        <w:t xml:space="preserve">Emissions: 0.0025 tonnes * 15,000 km * 0.01 kgCO2e/tonne-km = 0.375 kgCO2e</w:t>
      </w:r>
    </w:p>
    <w:p>
      <w:pPr>
        <w:numPr>
          <w:ilvl w:val="0"/>
          <w:numId w:val="1010"/>
        </w:numPr>
        <w:pStyle w:val="Compact"/>
      </w:pPr>
      <w:r>
        <w:rPr>
          <w:bCs/>
          <w:b/>
        </w:rPr>
        <w:t xml:space="preserve">Last-Mile Delivery (Distribution Center to Customer in Europe):</w:t>
      </w:r>
    </w:p>
    <w:p>
      <w:pPr>
        <w:numPr>
          <w:ilvl w:val="1"/>
          <w:numId w:val="1013"/>
        </w:numPr>
        <w:pStyle w:val="Compact"/>
      </w:pPr>
      <w:r>
        <w:t xml:space="preserve">Distance: 500 km (Heavy-duty truck/Standard Parcel Delivery)</w:t>
      </w:r>
    </w:p>
    <w:p>
      <w:pPr>
        <w:numPr>
          <w:ilvl w:val="1"/>
          <w:numId w:val="1013"/>
        </w:numPr>
        <w:pStyle w:val="Compact"/>
      </w:pPr>
      <w:r>
        <w:t xml:space="preserve">Emissions: 2.5 kg * 500 km * 0.2 kgCO2e/kg-km (simplified average for last-mile) = 2.5 kgCO2e</w:t>
      </w:r>
    </w:p>
    <w:p>
      <w:pPr>
        <w:numPr>
          <w:ilvl w:val="0"/>
          <w:numId w:val="1010"/>
        </w:numPr>
        <w:pStyle w:val="Compact"/>
      </w:pPr>
      <w:r>
        <w:rPr>
          <w:bCs/>
          <w:b/>
        </w:rPr>
        <w:t xml:space="preserve">Total Transportation Emissions: 0.375 + 0.375 + 2.5 = 3.25 kgCO2e</w:t>
      </w:r>
    </w:p>
    <w:bookmarkEnd w:id="40"/>
    <w:bookmarkStart w:id="41" w:name="d.-use-phase-scope-3-downstream"/>
    <w:p>
      <w:pPr>
        <w:pStyle w:val="Heading4"/>
      </w:pPr>
      <w:r>
        <w:t xml:space="preserve">D. Use Phase (Scope 3 Downstream)</w:t>
      </w:r>
    </w:p>
    <w:p>
      <w:pPr>
        <w:numPr>
          <w:ilvl w:val="0"/>
          <w:numId w:val="1014"/>
        </w:numPr>
        <w:pStyle w:val="Compact"/>
      </w:pPr>
      <w:r>
        <w:t xml:space="preserve">Lifespan: 7 years</w:t>
      </w:r>
    </w:p>
    <w:p>
      <w:pPr>
        <w:numPr>
          <w:ilvl w:val="0"/>
          <w:numId w:val="1014"/>
        </w:numPr>
        <w:pStyle w:val="Compact"/>
      </w:pPr>
      <w:r>
        <w:t xml:space="preserve">Annual Energy Consumption: 15 kWh/year</w:t>
      </w:r>
    </w:p>
    <w:p>
      <w:pPr>
        <w:numPr>
          <w:ilvl w:val="0"/>
          <w:numId w:val="1014"/>
        </w:numPr>
        <w:pStyle w:val="Compact"/>
      </w:pPr>
      <w:r>
        <w:t xml:space="preserve">Total Energy Consumption over Lifespan: 15 kWh/year * 7 years = 105 kWh</w:t>
      </w:r>
    </w:p>
    <w:p>
      <w:pPr>
        <w:numPr>
          <w:ilvl w:val="0"/>
          <w:numId w:val="1014"/>
        </w:numPr>
        <w:pStyle w:val="Compact"/>
      </w:pPr>
      <w:r>
        <w:t xml:space="preserve">Emissions: 105 kWh * 0.25 kgCO2e/kWh (EU grid) = 26.25 kgCO2e</w:t>
      </w:r>
    </w:p>
    <w:p>
      <w:pPr>
        <w:numPr>
          <w:ilvl w:val="0"/>
          <w:numId w:val="1014"/>
        </w:numPr>
        <w:pStyle w:val="Compact"/>
      </w:pPr>
      <w:r>
        <w:rPr>
          <w:bCs/>
          <w:b/>
        </w:rPr>
        <w:t xml:space="preserve">Total Use Phase Emissions: 26.25 kgCO2e</w:t>
      </w:r>
    </w:p>
    <w:bookmarkEnd w:id="41"/>
    <w:bookmarkStart w:id="42" w:name="e.-end-of-life-eol-scope-3-downstream"/>
    <w:p>
      <w:pPr>
        <w:pStyle w:val="Heading4"/>
      </w:pPr>
      <w:r>
        <w:t xml:space="preserve">E. End-of-Life (EoL) (Scope 3 Downstream)</w:t>
      </w:r>
    </w:p>
    <w:p>
      <w:pPr>
        <w:numPr>
          <w:ilvl w:val="0"/>
          <w:numId w:val="1015"/>
        </w:numPr>
        <w:pStyle w:val="Compact"/>
      </w:pPr>
      <w:r>
        <w:t xml:space="preserve">Product Weight: 2.5 kg</w:t>
      </w:r>
    </w:p>
    <w:p>
      <w:pPr>
        <w:numPr>
          <w:ilvl w:val="0"/>
          <w:numId w:val="1015"/>
        </w:numPr>
        <w:pStyle w:val="Compact"/>
      </w:pPr>
      <w:r>
        <w:t xml:space="preserve">Recycled Portion: 60% (1.5 kg)</w:t>
      </w:r>
    </w:p>
    <w:p>
      <w:pPr>
        <w:numPr>
          <w:ilvl w:val="0"/>
          <w:numId w:val="1015"/>
        </w:numPr>
        <w:pStyle w:val="Compact"/>
      </w:pPr>
      <w:r>
        <w:t xml:space="preserve">Disposed Portion (Landfill/Incineration): 40% (1.0 kg)</w:t>
      </w:r>
    </w:p>
    <w:p>
      <w:pPr>
        <w:numPr>
          <w:ilvl w:val="0"/>
          <w:numId w:val="1015"/>
        </w:numPr>
        <w:pStyle w:val="Compact"/>
      </w:pPr>
      <w:r>
        <w:t xml:space="preserve">Emissions from Disposal: 1.0 kg * 0.5 kgCO2e/kg = 0.50 kgCO2e</w:t>
      </w:r>
    </w:p>
    <w:p>
      <w:pPr>
        <w:numPr>
          <w:ilvl w:val="0"/>
          <w:numId w:val="1015"/>
        </w:numPr>
        <w:pStyle w:val="Compact"/>
      </w:pPr>
      <w:r>
        <w:t xml:space="preserve">Recycling Credits (avoided emissions): 1.5 kg * (-1.0 kgCO2e/kg) = -1.50 kgCO2e</w:t>
      </w:r>
    </w:p>
    <w:p>
      <w:pPr>
        <w:numPr>
          <w:ilvl w:val="0"/>
          <w:numId w:val="1015"/>
        </w:numPr>
        <w:pStyle w:val="Compact"/>
      </w:pPr>
      <w:r>
        <w:rPr>
          <w:bCs/>
          <w:b/>
        </w:rPr>
        <w:t xml:space="preserve">Total EoL Emissions (Net): 0.50 + (-1.50) = -1.00 kgCO2e</w:t>
      </w:r>
    </w:p>
    <w:bookmarkEnd w:id="42"/>
    <w:bookmarkEnd w:id="43"/>
    <w:bookmarkStart w:id="44" w:name="X641ccb4652c038ceac0302942053b2292a3d462"/>
    <w:p>
      <w:pPr>
        <w:pStyle w:val="Heading3"/>
      </w:pPr>
      <w:r>
        <w:t xml:space="preserve">4.2. Summary of Emissions by GHG Protocol Scope</w:t>
      </w:r>
    </w:p>
    <w:p>
      <w:pPr>
        <w:pStyle w:val="FirstParagraph"/>
      </w:pPr>
      <w:r>
        <w:t xml:space="preserve">The emissions are categorized according to the GHG Protocol\'s Scope 1, 2, and 3 definitions.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(kgCO2e)</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w:t>
            </w:r>
          </w:p>
        </w:tc>
        <w:tc>
          <w:tcPr/>
          <w:p>
            <w:pPr>
              <w:pStyle w:val="Compact"/>
              <w:jc w:val="left"/>
            </w:pPr>
            <w:r>
              <w:t xml:space="preserve">Assumed negligible for product manufacturing.</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3.12</w:t>
            </w:r>
          </w:p>
        </w:tc>
        <w:tc>
          <w:tcPr/>
          <w:p>
            <w:pPr>
              <w:pStyle w:val="Compact"/>
              <w:jc w:val="left"/>
            </w:pPr>
            <w:r>
              <w:t xml:space="preserve">From non-renewable electricity consumption during manufacturing.</w:t>
            </w:r>
          </w:p>
        </w:tc>
      </w:tr>
      <w:tr>
        <w:tc>
          <w:tcPr>
            <w:vMerge w:val="restart"/>
          </w:tcPr>
          <w:p>
            <w:pPr>
              <w:pStyle w:val="Compact"/>
              <w:jc w:val="left"/>
            </w:pPr>
            <w:r>
              <w:t xml:space="preserve">Scope 3</w:t>
            </w:r>
          </w:p>
        </w:tc>
        <w:tc>
          <w:tcPr/>
          <w:p>
            <w:pPr>
              <w:pStyle w:val="Compact"/>
              <w:jc w:val="left"/>
            </w:pPr>
            <w:r>
              <w:t xml:space="preserve">Upstream: Purchased Goods and Services (Materials)</w:t>
            </w:r>
          </w:p>
        </w:tc>
        <w:tc>
          <w:tcPr/>
          <w:p>
            <w:pPr>
              <w:pStyle w:val="Compact"/>
              <w:jc w:val="left"/>
            </w:pPr>
            <w:r>
              <w:t xml:space="preserve">7.75</w:t>
            </w:r>
          </w:p>
        </w:tc>
        <w:tc>
          <w:tcPr/>
          <w:p>
            <w:pPr>
              <w:pStyle w:val="Compact"/>
              <w:jc w:val="left"/>
            </w:pPr>
            <w:r>
              <w:t xml:space="preserve">Emissions from raw material acquisition and pre-processing.</w:t>
            </w:r>
          </w:p>
        </w:tc>
      </w:tr>
      <w:tr>
        <w:tc>
          <w:tcPr>
            <w:gridSpan w:val="1"/>
            <w:vMerge w:val="continue"/>
          </w:tcPr>
          <w:p>
            <w:pPr/>
          </w:p>
        </w:tc>
        <w:tc>
          <w:tcPr/>
          <w:p>
            <w:pPr>
              <w:pStyle w:val="Compact"/>
              <w:jc w:val="left"/>
            </w:pPr>
            <w:r>
              <w:t xml:space="preserve">Upstream: Transportation and Distribution (Inbound)</w:t>
            </w:r>
          </w:p>
        </w:tc>
        <w:tc>
          <w:tcPr/>
          <w:p>
            <w:pPr>
              <w:pStyle w:val="Compact"/>
              <w:jc w:val="left"/>
            </w:pPr>
            <w:r>
              <w:t xml:space="preserve">0.38</w:t>
            </w:r>
          </w:p>
        </w:tc>
        <w:tc>
          <w:tcPr/>
          <w:p>
            <w:pPr>
              <w:pStyle w:val="Compact"/>
              <w:jc w:val="left"/>
            </w:pPr>
            <w:r>
              <w:t xml:space="preserve">Emissions from transporting materials to the factory.</w:t>
            </w:r>
          </w:p>
        </w:tc>
      </w:tr>
      <w:tr>
        <w:tc>
          <w:tcPr>
            <w:gridSpan w:val="1"/>
            <w:vMerge w:val="continue"/>
          </w:tcPr>
          <w:p>
            <w:pPr/>
          </w:p>
        </w:tc>
        <w:tc>
          <w:tcPr/>
          <w:p>
            <w:pPr>
              <w:pStyle w:val="Compact"/>
              <w:jc w:val="left"/>
            </w:pPr>
            <w:r>
              <w:t xml:space="preserve">Downstream: Transportation and Distribution (Outbound)</w:t>
            </w:r>
          </w:p>
        </w:tc>
        <w:tc>
          <w:tcPr/>
          <w:p>
            <w:pPr>
              <w:pStyle w:val="Compact"/>
              <w:jc w:val="left"/>
            </w:pPr>
            <w:r>
              <w:t xml:space="preserve">2.88</w:t>
            </w:r>
          </w:p>
        </w:tc>
        <w:tc>
          <w:tcPr/>
          <w:p>
            <w:pPr>
              <w:pStyle w:val="Compact"/>
              <w:jc w:val="left"/>
            </w:pPr>
            <w:r>
              <w:t xml:space="preserve">Emissions from product distribution to customer (0.375 + 2.5).</w:t>
            </w:r>
          </w:p>
        </w:tc>
      </w:tr>
      <w:tr>
        <w:tc>
          <w:tcPr>
            <w:gridSpan w:val="1"/>
            <w:vMerge w:val="continue"/>
          </w:tcPr>
          <w:p>
            <w:pPr/>
          </w:p>
        </w:tc>
        <w:tc>
          <w:tcPr/>
          <w:p>
            <w:pPr>
              <w:pStyle w:val="Compact"/>
              <w:jc w:val="left"/>
            </w:pPr>
            <w:r>
              <w:t xml:space="preserve">Downstream: Use of Sold Products</w:t>
            </w:r>
          </w:p>
        </w:tc>
        <w:tc>
          <w:tcPr/>
          <w:p>
            <w:pPr>
              <w:pStyle w:val="Compact"/>
              <w:jc w:val="left"/>
            </w:pPr>
            <w:r>
              <w:t xml:space="preserve">26.25</w:t>
            </w:r>
          </w:p>
        </w:tc>
        <w:tc>
          <w:tcPr/>
          <w:p>
            <w:pPr>
              <w:pStyle w:val="Compact"/>
              <w:jc w:val="left"/>
            </w:pPr>
            <w:r>
              <w:t xml:space="preserve">Emissions from energy consumption during the product\'s lifespan.</w:t>
            </w:r>
          </w:p>
        </w:tc>
      </w:tr>
      <w:tr>
        <w:tc>
          <w:tcPr>
            <w:gridSpan w:val="1"/>
            <w:vMerge w:val="continue"/>
          </w:tcPr>
          <w:p>
            <w:pPr/>
          </w:p>
        </w:tc>
        <w:tc>
          <w:tcPr/>
          <w:p>
            <w:pPr>
              <w:pStyle w:val="Compact"/>
              <w:jc w:val="left"/>
            </w:pPr>
            <w:r>
              <w:t xml:space="preserve">Downstream: End-of-Life Treatment of Sold Products</w:t>
            </w:r>
          </w:p>
        </w:tc>
        <w:tc>
          <w:tcPr/>
          <w:p>
            <w:pPr>
              <w:pStyle w:val="Compact"/>
              <w:jc w:val="left"/>
            </w:pPr>
            <w:r>
              <w:t xml:space="preserve">-1.00</w:t>
            </w:r>
          </w:p>
        </w:tc>
        <w:tc>
          <w:tcPr/>
          <w:p>
            <w:pPr>
              <w:pStyle w:val="Compact"/>
              <w:jc w:val="left"/>
            </w:pPr>
            <w:r>
              <w:t xml:space="preserve">Net emissions from disposal and recycling, including credits.</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39.38 kgCO2e</w:t>
            </w:r>
          </w:p>
        </w:tc>
        <w:tc>
          <w:tcPr/>
          <w:p>
            <w:pPr>
              <w:pStyle w:val="Compact"/>
              <w:jc w:val="left"/>
            </w:pPr>
            <w:r>
              <w:t xml:space="preserve">(0.00 + 3.12 + 7.75 + 0.38 + 2.88 + 26.25 - 1.00)</w:t>
            </w:r>
          </w:p>
        </w:tc>
      </w:tr>
    </w:tbl>
    <w:bookmarkEnd w:id="44"/>
    <w:bookmarkStart w:id="45" w:name="scope-3-compliance-95-coverage"/>
    <w:p>
      <w:pPr>
        <w:pStyle w:val="Heading3"/>
      </w:pPr>
      <w:r>
        <w:t xml:space="preserve">4.3. 2026 Scope 3 Compliance (95% Coverage)</w:t>
      </w:r>
    </w:p>
    <w:p>
      <w:pPr>
        <w:pStyle w:val="FirstParagraph"/>
      </w:pPr>
      <w:r>
        <w:t xml:space="preserve">The 2026 GHG Protocol Scope 3 requirements mandate at least 95% coverage of total required Scope 3 emissions. For</w:t>
      </w:r>
      <w:r>
        <w:t xml:space="preserve"> </w:t>
      </w:r>
      <w:r>
        <w:rPr>
          <w:bCs/>
          <w:b/>
        </w:rPr>
        <w:t xml:space="preserve">pkhfvnepgu</w:t>
      </w:r>
      <w:r>
        <w:t xml:space="preserve">, this analysis has aimed for comprehensive coverage by including all major upstream and downstream categories directly associated with the product\'s lifecycle: Purchased Goods and Services, Transportation (upstream and downstream), Use of Sold Products, and End-of-Life Treatment of Sold Products. While other optional Scope 3 categories (e.g., business travel, employee commuting for</w:t>
      </w:r>
      <w:r>
        <w:t xml:space="preserve"> </w:t>
      </w:r>
      <w:r>
        <w:rPr>
          <w:bCs/>
          <w:b/>
        </w:rPr>
        <w:t xml:space="preserve">dfrelukhvn</w:t>
      </w:r>
      <w:r>
        <w:t xml:space="preserve">\'s corporate operations) are not included in this *product-specific* PCF, the identified value chain emissions represent the vast majority of the product\'s footprint, thereby conceptually satisfying the 95% coverage principle.</w:t>
      </w:r>
      <w:r>
        <w:t xml:space="preserve"> </w:t>
      </w:r>
      <w:r>
        <w:rPr>
          <w:bCs/>
          <w:b/>
        </w:rPr>
        <w:t xml:space="preserve">dfrelukhvn</w:t>
      </w:r>
      <w:r>
        <w:t xml:space="preserve"> </w:t>
      </w:r>
      <w:r>
        <w:t xml:space="preserve">is committed to enhancing data granularity to improve the accuracy and completeness of its Scope 3 reporting in line with evolving standards.</w:t>
      </w:r>
    </w:p>
    <w:p>
      <w:r>
        <w:pict>
          <v:rect style="width:0;height:1.5pt" o:hralign="center" o:hrstd="t" o:hr="t"/>
        </w:pict>
      </w:r>
    </w:p>
    <w:bookmarkEnd w:id="45"/>
    <w:bookmarkEnd w:id="46"/>
    <w:bookmarkStart w:id="49"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PCF analysis for</w:t>
      </w:r>
      <w:r>
        <w:t xml:space="preserve"> </w:t>
      </w:r>
      <w:r>
        <w:rPr>
          <w:bCs/>
          <w:b/>
        </w:rPr>
        <w:t xml:space="preserve">pkhfvnepgu</w:t>
      </w:r>
      <w:r>
        <w:t xml:space="preserve"> </w:t>
      </w:r>
      <w:r>
        <w:t xml:space="preserve">highlights the following primary emission hotspots:</w:t>
      </w:r>
    </w:p>
    <w:p>
      <w:pPr>
        <w:numPr>
          <w:ilvl w:val="0"/>
          <w:numId w:val="1016"/>
        </w:numPr>
        <w:pStyle w:val="Compact"/>
      </w:pPr>
      <w:r>
        <w:rPr>
          <w:bCs/>
          <w:b/>
        </w:rPr>
        <w:t xml:space="preserve">Use Phase (26.25 kgCO2e):</w:t>
      </w:r>
      <w:r>
        <w:t xml:space="preserve"> </w:t>
      </w:r>
      <w:r>
        <w:t xml:space="preserve">This is the most significant contributor, primarily due to the product\'s energy consumption over its 7-year lifespan and the associated electricity grid emissions. This indicates a strong opportunity for design improvements that reduce energy demand or enhance compatibility with renewable energy sources.</w:t>
      </w:r>
    </w:p>
    <w:p>
      <w:pPr>
        <w:numPr>
          <w:ilvl w:val="0"/>
          <w:numId w:val="1016"/>
        </w:numPr>
        <w:pStyle w:val="Compact"/>
      </w:pPr>
      <w:r>
        <w:rPr>
          <w:bCs/>
          <w:b/>
        </w:rPr>
        <w:t xml:space="preserve">Raw Materials (7.75 kgCO2e):</w:t>
      </w:r>
      <w:r>
        <w:t xml:space="preserve"> </w:t>
      </w:r>
      <w:r>
        <w:t xml:space="preserve">The acquisition and processing of materials like steel and ABS plastic represent the second largest hotspot. Focusing on low-carbon material alternatives, recycled content, and engaging with suppliers to reduce their operational emissions will be crucial.</w:t>
      </w:r>
    </w:p>
    <w:p>
      <w:pPr>
        <w:numPr>
          <w:ilvl w:val="0"/>
          <w:numId w:val="1016"/>
        </w:numPr>
        <w:pStyle w:val="Compact"/>
      </w:pPr>
      <w:r>
        <w:rPr>
          <w:bCs/>
          <w:b/>
        </w:rPr>
        <w:t xml:space="preserve">Manufacturing (3.12 kgCO2e):</w:t>
      </w:r>
      <w:r>
        <w:t xml:space="preserve"> </w:t>
      </w:r>
      <w:r>
        <w:t xml:space="preserve">While significant, this is less than the use phase and materials. Increasing renewable energy usage beyond 40% and improving energy efficiency at the manufacturing facility in China would further reduce this impact.</w:t>
      </w:r>
    </w:p>
    <w:p>
      <w:pPr>
        <w:numPr>
          <w:ilvl w:val="0"/>
          <w:numId w:val="1016"/>
        </w:numPr>
        <w:pStyle w:val="Compact"/>
      </w:pPr>
      <w:r>
        <w:rPr>
          <w:bCs/>
          <w:b/>
        </w:rPr>
        <w:t xml:space="preserve">Transportation (3.25 kgCO2e):</w:t>
      </w:r>
      <w:r>
        <w:t xml:space="preserve"> </w:t>
      </w:r>
      <w:r>
        <w:t xml:space="preserve">Both inbound and outbound logistics contribute, with last-mile delivery being a notable factor. Optimizing logistics routes, selecting lower-emission transport modes, and consolidating shipments can reduce this impact.</w:t>
      </w:r>
    </w:p>
    <w:bookmarkEnd w:id="47"/>
    <w:bookmarkStart w:id="48" w:name="data-reliability-and-limitations"/>
    <w:p>
      <w:pPr>
        <w:pStyle w:val="Heading3"/>
      </w:pPr>
      <w:r>
        <w:t xml:space="preserve">5.2. Data Reliability and Limitations</w:t>
      </w:r>
    </w:p>
    <w:p>
      <w:pPr>
        <w:pStyle w:val="FirstParagraph"/>
      </w:pPr>
      <w:r>
        <w:t xml:space="preserve">The reliability of this report is directly tied to the quality and specificity of the input data. As many parameters were provided as placeholders, illustrative data and generic industry average emission factors (conceptually from Ecoinvent/DEFRA) were used for calculations. Key limitations include:</w:t>
      </w:r>
    </w:p>
    <w:p>
      <w:pPr>
        <w:numPr>
          <w:ilvl w:val="0"/>
          <w:numId w:val="1017"/>
        </w:numPr>
        <w:pStyle w:val="Compact"/>
      </w:pPr>
      <w:r>
        <w:rPr>
          <w:bCs/>
          <w:b/>
        </w:rPr>
        <w:t xml:space="preserve">Placeholder Data:</w:t>
      </w:r>
      <w:r>
        <w:t xml:space="preserve"> </w:t>
      </w:r>
      <w:r>
        <w:t xml:space="preserve">The use of illustrative values for BOM, transport distances, energy usage, and EoL scenarios means the calculated PCF is an estimation. A high-accuracy PCF would require primary, supplier-specific data for all these parameters.</w:t>
      </w:r>
    </w:p>
    <w:p>
      <w:pPr>
        <w:numPr>
          <w:ilvl w:val="0"/>
          <w:numId w:val="1017"/>
        </w:numPr>
        <w:pStyle w:val="Compact"/>
      </w:pPr>
      <w:r>
        <w:rPr>
          <w:bCs/>
          <w:b/>
        </w:rPr>
        <w:t xml:space="preserve">Generic Emission Factors:</w:t>
      </w:r>
      <w:r>
        <w:t xml:space="preserve"> </w:t>
      </w:r>
      <w:r>
        <w:t xml:space="preserve">Industry average emission factors, while widely accepted, may not fully capture the specific environmental performance of</w:t>
      </w:r>
      <w:r>
        <w:t xml:space="preserve"> </w:t>
      </w:r>
      <w:r>
        <w:rPr>
          <w:bCs/>
          <w:b/>
        </w:rPr>
        <w:t xml:space="preserve">dfrelukhvn</w:t>
      </w:r>
      <w:r>
        <w:t xml:space="preserve">\'s actual supply chain and manufacturing processes.</w:t>
      </w:r>
    </w:p>
    <w:p>
      <w:pPr>
        <w:numPr>
          <w:ilvl w:val="0"/>
          <w:numId w:val="1017"/>
        </w:numPr>
        <w:pStyle w:val="Compact"/>
      </w:pPr>
      <w:r>
        <w:rPr>
          <w:bCs/>
          <w:b/>
        </w:rPr>
        <w:t xml:space="preserve">System Boundary Interpretation:</w:t>
      </w:r>
      <w:r>
        <w:t xml:space="preserve"> </w:t>
      </w:r>
      <w:r>
        <w:t xml:space="preserve">The "factory_gate" boundary for the primary production phase was expanded to "cradle-to-grave" to fulfill all requested parameters, which required assumptions for downstream stages.</w:t>
      </w:r>
    </w:p>
    <w:p>
      <w:pPr>
        <w:numPr>
          <w:ilvl w:val="0"/>
          <w:numId w:val="1017"/>
        </w:numPr>
        <w:pStyle w:val="Compact"/>
      </w:pPr>
      <w:r>
        <w:rPr>
          <w:bCs/>
          <w:b/>
        </w:rPr>
        <w:t xml:space="preserve">LSR Standard Application:</w:t>
      </w:r>
      <w:r>
        <w:t xml:space="preserve"> </w:t>
      </w:r>
      <w:r>
        <w:t xml:space="preserve">The 2026 LSR update was conceptually applied, emphasizing its importance for upstream agricultural/forestry-derived materials. Actual quantification would necessitate detailed land-use data specific to material origins.</w:t>
      </w:r>
    </w:p>
    <w:p>
      <w:pPr>
        <w:numPr>
          <w:ilvl w:val="0"/>
          <w:numId w:val="1017"/>
        </w:numPr>
        <w:pStyle w:val="Compact"/>
      </w:pPr>
      <w:r>
        <w:rPr>
          <w:bCs/>
          <w:b/>
        </w:rPr>
        <w:t xml:space="preserve">Simplified EoL Credits:</w:t>
      </w:r>
      <w:r>
        <w:t xml:space="preserve"> </w:t>
      </w:r>
      <w:r>
        <w:t xml:space="preserve">Recycling credits were simplified for illustrative purposes; a full LCA would involve more detailed avoided burden calculations.</w:t>
      </w:r>
    </w:p>
    <w:p>
      <w:pPr>
        <w:pStyle w:val="FirstParagraph"/>
      </w:pPr>
      <w:r>
        <w:t xml:space="preserve">To improve the accuracy and reliability of future PCF analyses,</w:t>
      </w:r>
      <w:r>
        <w:t xml:space="preserve"> </w:t>
      </w:r>
      <w:r>
        <w:rPr>
          <w:bCs/>
          <w:b/>
        </w:rPr>
        <w:t xml:space="preserve">dfrelukhvn</w:t>
      </w:r>
      <w:r>
        <w:t xml:space="preserve"> </w:t>
      </w:r>
      <w:r>
        <w:t xml:space="preserve">should prioritize collecting primary data from its suppliers, transport providers, and manufacturing facilities, and invest in detailed lifecycle inventory data for its specific materials and processes.</w:t>
      </w:r>
    </w:p>
    <w:p>
      <w:r>
        <w:pict>
          <v:rect style="width:0;height:1.5pt" o:hralign="center" o:hrstd="t" o:hr="t"/>
        </w:pict>
      </w:r>
    </w:p>
    <w:p>
      <w:pPr>
        <w:pStyle w:val="FirstParagraph"/>
      </w:pPr>
      <w:r>
        <w:t xml:space="preserve">Confidential - Internal Use Only | Generated Date: June 3, 2026</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pkhfvnepgu</dc:title>
  <dc:creator/>
  <dc:description>Detailed Product Carbon Footprint (PCF) analysis for pkhfvnepgu, adhering to GHG Protocol standards and 2026 updates, conducted by Senior Sustainability Consultant pipjdodxuj for dfrelukhvn.</dc:description>
  <dc:language>en</dc:language>
  <cp:keywords/>
  <dcterms:created xsi:type="dcterms:W3CDTF">2026-07-15T01:27:53Z</dcterms:created>
  <dcterms:modified xsi:type="dcterms:W3CDTF">2026-07-15T01:27:53Z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