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pkepvttmix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pkepvttmix"/>
    <w:p>
      <w:pPr>
        <w:pStyle w:val="Heading2"/>
      </w:pPr>
      <w:r>
        <w:t xml:space="preserve">Product: pkepvttmix</w:t>
      </w:r>
    </w:p>
    <w:p>
      <w:pPr>
        <w:pStyle w:val="FirstParagraph"/>
      </w:pPr>
      <w:r>
        <w:t xml:space="preserve">**Protocol Data (Accounting Standard):** GHG Protocol</w:t>
      </w:r>
    </w:p>
    <w:p>
      <w:pPr>
        <w:pStyle w:val="BodyText"/>
      </w:pPr>
      <w:r>
        <w:t xml:space="preserve">**Name of the Company:** zpiwjljmxu</w:t>
      </w:r>
    </w:p>
    <w:p>
      <w:pPr>
        <w:pStyle w:val="BodyText"/>
      </w:pPr>
      <w:r>
        <w:t xml:space="preserve">**Senior Sustainability Consultant:** oxyhvexuiv</w:t>
      </w:r>
    </w:p>
    <w:p>
      <w:pPr>
        <w:pStyle w:val="BodyText"/>
      </w:pPr>
      <w:r>
        <w:t xml:space="preserve">*Disclaimer: This report is generated based on available data and industry standards at the time of publication. The calculations rely on provided parameters and assumed industry average emission factors where primary data was unavailable or specified as placeholders. The accuracy is dependent on the completeness and precision of the input data.*</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pkepvttmix</w:t>
      </w:r>
    </w:p>
    <w:p>
      <w:pPr>
        <w:pStyle w:val="BodyText"/>
      </w:pPr>
      <w:r>
        <w:rPr>
          <w:bCs/>
          <w:b/>
        </w:rPr>
        <w:t xml:space="preserve">Company:</w:t>
      </w:r>
      <w:r>
        <w:t xml:space="preserve"> </w:t>
      </w:r>
      <w:r>
        <w:t xml:space="preserve">zpiwjljmxu</w:t>
      </w:r>
    </w:p>
    <w:p>
      <w:pPr>
        <w:pStyle w:val="BodyText"/>
      </w:pPr>
      <w:r>
        <w:rPr>
          <w:bCs/>
          <w:b/>
        </w:rPr>
        <w:t xml:space="preserve">Senior Sustainability Consultant:</w:t>
      </w:r>
      <w:r>
        <w:t xml:space="preserve"> </w:t>
      </w:r>
      <w:r>
        <w:t xml:space="preserve">oxyhvexuiv</w:t>
      </w:r>
    </w:p>
    <w:p>
      <w:pPr>
        <w:pStyle w:val="BodyText"/>
      </w:pPr>
      <w:r>
        <w:rPr>
          <w:bCs/>
          <w:b/>
        </w:rPr>
        <w:t xml:space="preserve">Generated Date:</w:t>
      </w:r>
      <w:r>
        <w:t xml:space="preserve"> </w:t>
      </w:r>
      <w:r>
        <w:t xml:space="preserve">May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pkepvttmix, manufactured by zpiwjljmxu. The analysis, conducted by Senior Sustainability Consultant oxyhvexuiv, adheres strictly to the GHG Protocol, incorporating the 2026 Land Sector and Removals (LSR) Standard update and ensuring comprehensive Scope 3 coverage. The primary goal is to quantify the greenhouse gas (GHG) emissions across the product\'s lifecycle, from raw material extraction to end-of-life, to identify hotspots and inform strategic sustainability improvements. The total carbon footprint for one functional unit of pkepvttmix is calculated based on detailed material inputs, production energy, transportation, use-phase electricity consumption, and end-of-life scenarios.</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foundation of this PCF analysis is built upon clearly defined parameters:</w:t>
      </w:r>
    </w:p>
    <w:p>
      <w:pPr>
        <w:numPr>
          <w:ilvl w:val="0"/>
          <w:numId w:val="1001"/>
        </w:numPr>
        <w:pStyle w:val="Compact"/>
      </w:pPr>
      <w:r>
        <w:rPr>
          <w:bCs/>
          <w:b/>
        </w:rPr>
        <w:t xml:space="preserve">Functional Unit:</w:t>
      </w:r>
      <w:r>
        <w:t xml:space="preserve"> </w:t>
      </w:r>
      <w:r>
        <w:t xml:space="preserve">1.0 unit of pkepvttmix.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This "cradle-to-gate" boundary typically encompasses raw material acquisition, transport to manufacturing, and manufacturing processes up to the point the product leaves the factory. However, as per the report requirements, the analysis is expanded to include the "Use Phase" and "End-of-Life" (EoL) scenarios, providing a more comprehensive "cradle-to-grave" perspective with the factory gate as the primary focus for direct operational emissions.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considering the upstream supply chain emissions relevant to European suppliers or distribution networks.</w:t>
      </w:r>
    </w:p>
    <w:p>
      <w:pPr>
        <w:numPr>
          <w:ilvl w:val="0"/>
          <w:numId w:val="1001"/>
        </w:numPr>
        <w:pStyle w:val="Compact"/>
      </w:pPr>
      <w:r>
        <w:rPr>
          <w:bCs/>
          <w:b/>
        </w:rPr>
        <w:t xml:space="preserve">Accounting Standard:</w:t>
      </w:r>
      <w:r>
        <w:t xml:space="preserve"> </w:t>
      </w:r>
      <w:r>
        <w:t xml:space="preserve">This analysis strictly adheres to the GHG Protocol Product Standard, ensuring consistent and transparent reporting of greenhouse gas emissions. Emissions are categorized into Scope 1 (direct), Scope 2 (purchased energy), and Scope 3 (value chain) in accordance with GHG Protocol requirements.</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distance-based transportation. For shared processes, mass-based allocation is applied where appropriate.</w:t>
      </w:r>
    </w:p>
    <w:p>
      <w:r>
        <w:pict>
          <v:rect style="width:0;height:1.5pt" o:hralign="center" o:hrstd="t" o:hr="t"/>
        </w:pict>
      </w:r>
    </w:p>
    <w:bookmarkEnd w:id="24"/>
    <w:bookmarkStart w:id="25" w:name="lifecycle-mapping-lci-inventory-stages"/>
    <w:p>
      <w:pPr>
        <w:pStyle w:val="Heading2"/>
      </w:pPr>
      <w:r>
        <w:t xml:space="preserve">2. Lifecycle Mapping (LCI Inventory Stages)</w:t>
      </w:r>
    </w:p>
    <w:p>
      <w:pPr>
        <w:pStyle w:val="FirstParagraph"/>
      </w:pPr>
      <w:r>
        <w:t xml:space="preserve">The lifecycle of pkepvttmix has been mapped into distinct stages to systematically account for all relevant emissions sources. Given the "factory_gate" system boundary expanded for use and EoL, the following stages are considered:</w:t>
      </w:r>
    </w:p>
    <w:p>
      <w:pPr>
        <w:numPr>
          <w:ilvl w:val="0"/>
          <w:numId w:val="1002"/>
        </w:numPr>
        <w:pStyle w:val="Compact"/>
      </w:pPr>
      <w:r>
        <w:rPr>
          <w:bCs/>
          <w:b/>
        </w:rPr>
        <w:t xml:space="preserve">A1-A3: Product Stage (Cradle-to-Gate - Materials &amp; Manufacturing)</w:t>
      </w:r>
    </w:p>
    <w:p>
      <w:pPr>
        <w:numPr>
          <w:ilvl w:val="1"/>
          <w:numId w:val="1003"/>
        </w:numPr>
        <w:pStyle w:val="Compact"/>
      </w:pPr>
      <w:r>
        <w:rPr>
          <w:bCs/>
          <w:b/>
        </w:rPr>
        <w:t xml:space="preserve">Raw Material Acquisition:</w:t>
      </w:r>
      <w:r>
        <w:t xml:space="preserve"> </w:t>
      </w:r>
      <w:r>
        <w:t xml:space="preserve">Extraction and processing of all raw materials constituting the Detailed Bill of Materials (BOM).</w:t>
      </w:r>
    </w:p>
    <w:p>
      <w:pPr>
        <w:numPr>
          <w:ilvl w:val="1"/>
          <w:numId w:val="1003"/>
        </w:numPr>
        <w:pStyle w:val="Compact"/>
      </w:pPr>
      <w:r>
        <w:rPr>
          <w:bCs/>
          <w:b/>
        </w:rPr>
        <w:t xml:space="preserve">Transport to Manufacturing:</w:t>
      </w:r>
      <w:r>
        <w:t xml:space="preserve"> </w:t>
      </w:r>
      <w:r>
        <w:t xml:space="preserve">Transportation of all raw materials and components from suppliers (Europe Focused) to the manufacturing facility in China.</w:t>
      </w:r>
    </w:p>
    <w:p>
      <w:pPr>
        <w:numPr>
          <w:ilvl w:val="1"/>
          <w:numId w:val="1003"/>
        </w:numPr>
        <w:pStyle w:val="Compact"/>
      </w:pPr>
      <w:r>
        <w:rPr>
          <w:bCs/>
          <w:b/>
        </w:rPr>
        <w:t xml:space="preserve">Manufacturing:</w:t>
      </w:r>
      <w:r>
        <w:t xml:space="preserve"> </w:t>
      </w:r>
      <w:r>
        <w:t xml:space="preserve">All production processes at the zpiwjljmxu facility in China, including energy consumption for machinery, assembly, and packaging.</w:t>
      </w:r>
    </w:p>
    <w:p>
      <w:pPr>
        <w:numPr>
          <w:ilvl w:val="0"/>
          <w:numId w:val="1002"/>
        </w:numPr>
        <w:pStyle w:val="Compact"/>
      </w:pPr>
      <w:r>
        <w:rPr>
          <w:bCs/>
          <w:b/>
        </w:rPr>
        <w:t xml:space="preserve">B1-B7: Use Stage</w:t>
      </w:r>
    </w:p>
    <w:p>
      <w:pPr>
        <w:numPr>
          <w:ilvl w:val="1"/>
          <w:numId w:val="1004"/>
        </w:numPr>
        <w:pStyle w:val="Compact"/>
      </w:pPr>
      <w:r>
        <w:rPr>
          <w:bCs/>
          <w:b/>
        </w:rPr>
        <w:t xml:space="preserve">Product Use:</w:t>
      </w:r>
      <w:r>
        <w:t xml:space="preserve"> </w:t>
      </w:r>
      <w:r>
        <w:t xml:space="preserve">Energy consumption during the lifespan of the product by the end-user.</w:t>
      </w:r>
    </w:p>
    <w:p>
      <w:pPr>
        <w:numPr>
          <w:ilvl w:val="0"/>
          <w:numId w:val="1002"/>
        </w:numPr>
        <w:pStyle w:val="Compact"/>
      </w:pPr>
      <w:r>
        <w:rPr>
          <w:bCs/>
          <w:b/>
        </w:rPr>
        <w:t xml:space="preserve">C1-C4: End-of-Life Stage</w:t>
      </w:r>
    </w:p>
    <w:p>
      <w:pPr>
        <w:numPr>
          <w:ilvl w:val="1"/>
          <w:numId w:val="1005"/>
        </w:numPr>
        <w:pStyle w:val="Compact"/>
      </w:pPr>
      <w:r>
        <w:rPr>
          <w:bCs/>
          <w:b/>
        </w:rPr>
        <w:t xml:space="preserve">End-of-Life Transport:</w:t>
      </w:r>
      <w:r>
        <w:t xml:space="preserve"> </w:t>
      </w:r>
      <w:r>
        <w:t xml:space="preserve">Transportation of the product to disposal or recycling facilities.</w:t>
      </w:r>
    </w:p>
    <w:p>
      <w:pPr>
        <w:numPr>
          <w:ilvl w:val="1"/>
          <w:numId w:val="1005"/>
        </w:numPr>
        <w:pStyle w:val="Compact"/>
      </w:pPr>
      <w:r>
        <w:rPr>
          <w:bCs/>
          <w:b/>
        </w:rPr>
        <w:t xml:space="preserve">Waste Processing / Recycling:</w:t>
      </w:r>
      <w:r>
        <w:t xml:space="preserve"> </w:t>
      </w:r>
      <w:r>
        <w:t xml:space="preserve">Emissions or credits associated with recycling processes.</w:t>
      </w:r>
    </w:p>
    <w:p>
      <w:pPr>
        <w:numPr>
          <w:ilvl w:val="1"/>
          <w:numId w:val="1005"/>
        </w:numPr>
        <w:pStyle w:val="Compact"/>
      </w:pPr>
      <w:r>
        <w:rPr>
          <w:bCs/>
          <w:b/>
        </w:rPr>
        <w:t xml:space="preserve">Disposal:</w:t>
      </w:r>
      <w:r>
        <w:t xml:space="preserve"> </w:t>
      </w:r>
      <w:r>
        <w:t xml:space="preserve">Emissions from landfilling or incineration of non-recyclable components.</w:t>
      </w:r>
    </w:p>
    <w:p>
      <w:r>
        <w:pict>
          <v:rect style="width:0;height:1.5pt" o:hralign="center" o:hrstd="t" o:hr="t"/>
        </w:pict>
      </w:r>
    </w:p>
    <w:bookmarkEnd w:id="25"/>
    <w:bookmarkStart w:id="31" w:name="data-collection"/>
    <w:p>
      <w:pPr>
        <w:pStyle w:val="Heading2"/>
      </w:pPr>
      <w:r>
        <w:t xml:space="preserve">3. Data Collection</w:t>
      </w:r>
    </w:p>
    <w:p>
      <w:pPr>
        <w:pStyle w:val="FirstParagraph"/>
      </w:pPr>
      <w:r>
        <w:t xml:space="preserve">Data collection involved both primary (provided parameters) and secondary (industry-standard emission factors) sources. The following specific data points were utilized for the analysis:</w:t>
      </w:r>
    </w:p>
    <w:bookmarkStart w:id="26" w:name="detailed-bill-of-materials-bom"/>
    <w:p>
      <w:pPr>
        <w:pStyle w:val="Heading3"/>
      </w:pPr>
      <w:r>
        <w:t xml:space="preserve">3.1. Detailed Bill of Materials (BOM)</w:t>
      </w:r>
    </w:p>
    <w:p>
      <w:pPr>
        <w:pStyle w:val="FirstParagraph"/>
      </w:pPr>
      <w:r>
        <w:t xml:space="preserve">The detailed Bill of Materials (BOM) for pkepvttmix was indicated as "wwhnpjzi". As this was a placeholder string and could not be directly parsed as structured data, a representative sample BOM has been constructed adhering to the specified format (ID, Description, Category, Process, Qty, Unit, Emission Factor, Total Carbon) to perform the high-accuracy material impact calculation. This sample BOM ensures the methodology is applied correctly. In a real-world scenario, the actual structured BOM data would replace this sample.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rPr>
          <w:bCs/>
          <w:b/>
        </w:rPr>
        <w:t xml:space="preserve">Total Material Carbon (based on sample BOM):</w:t>
      </w:r>
      <w:r>
        <w:t xml:space="preserve"> </w:t>
      </w:r>
      <w:r>
        <w:t xml:space="preserve">4.28 kgCO2e</w:t>
      </w:r>
    </w:p>
    <w:bookmarkEnd w:id="26"/>
    <w:bookmarkStart w:id="27" w:name="production-energy-data"/>
    <w:p>
      <w:pPr>
        <w:pStyle w:val="Heading3"/>
      </w:pPr>
      <w:r>
        <w:t xml:space="preserve">3.2. Production Energy Data</w:t>
      </w:r>
    </w:p>
    <w:p>
      <w:pPr>
        <w:numPr>
          <w:ilvl w:val="0"/>
          <w:numId w:val="1006"/>
        </w:numPr>
        <w:pStyle w:val="Compact"/>
      </w:pPr>
      <w:r>
        <w:rPr>
          <w:bCs/>
          <w:b/>
        </w:rPr>
        <w:t xml:space="preserve">Renewable Energy Usage (vhjevntstj):</w:t>
      </w:r>
      <w:r>
        <w:t xml:space="preserve"> </w:t>
      </w:r>
      <w:r>
        <w:t xml:space="preserve">50%</w:t>
      </w:r>
    </w:p>
    <w:p>
      <w:pPr>
        <w:numPr>
          <w:ilvl w:val="0"/>
          <w:numId w:val="1006"/>
        </w:numPr>
        <w:pStyle w:val="Compact"/>
      </w:pPr>
      <w:r>
        <w:rPr>
          <w:bCs/>
          <w:b/>
        </w:rPr>
        <w:t xml:space="preserve">Energy Intensity (kWh/unit) (wuutlqwgkd):</w:t>
      </w:r>
      <w:r>
        <w:t xml:space="preserve"> </w:t>
      </w:r>
      <w:r>
        <w:t xml:space="preserve">15 kWh/unit</w:t>
      </w:r>
    </w:p>
    <w:p>
      <w:pPr>
        <w:numPr>
          <w:ilvl w:val="0"/>
          <w:numId w:val="1006"/>
        </w:numPr>
        <w:pStyle w:val="Compact"/>
      </w:pPr>
      <w:r>
        <w:rPr>
          <w:bCs/>
          <w:b/>
        </w:rPr>
        <w:t xml:space="preserve">Assumed China Grid Electricity Emission Factor:</w:t>
      </w:r>
      <w:r>
        <w:t xml:space="preserve"> </w:t>
      </w:r>
      <w:r>
        <w:t xml:space="preserve">0.581 kgCO2e/kWh (average for State Grid, based on 2022 data).</w:t>
      </w:r>
    </w:p>
    <w:bookmarkEnd w:id="27"/>
    <w:bookmarkStart w:id="28" w:name="logistics-data"/>
    <w:p>
      <w:pPr>
        <w:pStyle w:val="Heading3"/>
      </w:pPr>
      <w:r>
        <w:t xml:space="preserve">3.3. Logistics Data</w:t>
      </w:r>
    </w:p>
    <w:p>
      <w:pPr>
        <w:numPr>
          <w:ilvl w:val="0"/>
          <w:numId w:val="1007"/>
        </w:numPr>
        <w:pStyle w:val="Compact"/>
      </w:pPr>
      <w:r>
        <w:rPr>
          <w:bCs/>
          <w:b/>
        </w:rPr>
        <w:t xml:space="preserve">Transport Mode (Select Mode):</w:t>
      </w:r>
      <w:r>
        <w:t xml:space="preserve"> </w:t>
      </w:r>
      <w:r>
        <w:t xml:space="preserve">Road freight (HGV &gt; 20t, diesel). Assumed for inbound raw materials to the factory and outbound finished goods to a central distribution hub.</w:t>
      </w:r>
    </w:p>
    <w:p>
      <w:pPr>
        <w:numPr>
          <w:ilvl w:val="0"/>
          <w:numId w:val="1007"/>
        </w:numPr>
        <w:pStyle w:val="Compact"/>
      </w:pPr>
      <w:r>
        <w:rPr>
          <w:bCs/>
          <w:b/>
        </w:rPr>
        <w:t xml:space="preserve">Transport Distance (isslwmownn):</w:t>
      </w:r>
      <w:r>
        <w:t xml:space="preserve"> </w:t>
      </w:r>
      <w:r>
        <w:t xml:space="preserve">1000 km (assumed 500 km inbound, 500 km outbound).</w:t>
      </w:r>
    </w:p>
    <w:p>
      <w:pPr>
        <w:numPr>
          <w:ilvl w:val="0"/>
          <w:numId w:val="1007"/>
        </w:numPr>
        <w:pStyle w:val="Compact"/>
      </w:pPr>
      <w:r>
        <w:rPr>
          <w:bCs/>
          <w:b/>
        </w:rPr>
        <w:t xml:space="preserve">Last-Mile Delivery Channel (Delivery Type):</w:t>
      </w:r>
      <w:r>
        <w:t xml:space="preserve"> </w:t>
      </w:r>
      <w:r>
        <w:t xml:space="preserve">Parcel delivery van (diesel).</w:t>
      </w:r>
    </w:p>
    <w:p>
      <w:pPr>
        <w:numPr>
          <w:ilvl w:val="0"/>
          <w:numId w:val="1007"/>
        </w:numPr>
        <w:pStyle w:val="Compact"/>
      </w:pPr>
      <w:r>
        <w:rPr>
          <w:bCs/>
          <w:b/>
        </w:rPr>
        <w:t xml:space="preserve">Assumed Road Freight (HGV &gt; 20t) Emission Factor:</w:t>
      </w:r>
      <w:r>
        <w:t xml:space="preserve"> </w:t>
      </w:r>
      <w:r>
        <w:t xml:space="preserve">0.065 kgCO2e/tonne-km (Europe focused, general average).</w:t>
      </w:r>
      <w:r>
        <w:br/>
      </w:r>
      <w:r>
        <w:rPr>
          <w:iCs/>
          <w:i/>
        </w:rPr>
        <w:t xml:space="preserve">Assumption:</w:t>
      </w:r>
      <w:r>
        <w:t xml:space="preserve"> </w:t>
      </w:r>
      <w:r>
        <w:t xml:space="preserve">Product weight for transport calculation is sum of BOM item quantities, approx. 0.87 kg (0.5+0.2+0.05+0.1+0.02).</w:t>
      </w:r>
    </w:p>
    <w:p>
      <w:pPr>
        <w:numPr>
          <w:ilvl w:val="0"/>
          <w:numId w:val="1007"/>
        </w:numPr>
        <w:pStyle w:val="Compact"/>
      </w:pPr>
      <w:r>
        <w:rPr>
          <w:bCs/>
          <w:b/>
        </w:rPr>
        <w:t xml:space="preserve">Assumed Parcel Delivery Van Emission Factor:</w:t>
      </w:r>
      <w:r>
        <w:t xml:space="preserve"> </w:t>
      </w:r>
      <w:r>
        <w:t xml:space="preserve">0.25 kgCO2e/km (general average for delivery vans).</w:t>
      </w:r>
      <w:r>
        <w:br/>
      </w:r>
      <w:r>
        <w:rPr>
          <w:iCs/>
          <w:i/>
        </w:rPr>
        <w:t xml:space="preserve">Assumption:</w:t>
      </w:r>
      <w:r>
        <w:t xml:space="preserve"> </w:t>
      </w:r>
      <w:r>
        <w:t xml:space="preserve">Last-mile delivery distance of 100 km per unit.</w:t>
      </w:r>
    </w:p>
    <w:bookmarkEnd w:id="28"/>
    <w:bookmarkStart w:id="29" w:name="use-phase-data"/>
    <w:p>
      <w:pPr>
        <w:pStyle w:val="Heading3"/>
      </w:pPr>
      <w:r>
        <w:t xml:space="preserve">3.4. Use Phase Data</w:t>
      </w:r>
    </w:p>
    <w:p>
      <w:pPr>
        <w:numPr>
          <w:ilvl w:val="0"/>
          <w:numId w:val="1008"/>
        </w:numPr>
        <w:pStyle w:val="Compact"/>
      </w:pPr>
      <w:r>
        <w:rPr>
          <w:bCs/>
          <w:b/>
        </w:rPr>
        <w:t xml:space="preserve">Product Lifespan (grjpioetvt):</w:t>
      </w:r>
      <w:r>
        <w:t xml:space="preserve"> </w:t>
      </w:r>
      <w:r>
        <w:t xml:space="preserve">7 years</w:t>
      </w:r>
    </w:p>
    <w:p>
      <w:pPr>
        <w:numPr>
          <w:ilvl w:val="0"/>
          <w:numId w:val="1008"/>
        </w:numPr>
        <w:pStyle w:val="Compact"/>
      </w:pPr>
      <w:r>
        <w:rPr>
          <w:bCs/>
          <w:b/>
        </w:rPr>
        <w:t xml:space="preserve">Energy Consumption in Use (hiyqjtxldf):</w:t>
      </w:r>
      <w:r>
        <w:t xml:space="preserve"> </w:t>
      </w:r>
      <w:r>
        <w:t xml:space="preserve">25 kWh/year</w:t>
      </w:r>
    </w:p>
    <w:bookmarkEnd w:id="29"/>
    <w:bookmarkStart w:id="30" w:name="end-of-life-eol-data"/>
    <w:p>
      <w:pPr>
        <w:pStyle w:val="Heading3"/>
      </w:pPr>
      <w:r>
        <w:t xml:space="preserve">3.5. End-of-Life (EoL) Data</w:t>
      </w:r>
    </w:p>
    <w:p>
      <w:pPr>
        <w:numPr>
          <w:ilvl w:val="0"/>
          <w:numId w:val="1009"/>
        </w:numPr>
        <w:pStyle w:val="Compact"/>
      </w:pPr>
      <w:r>
        <w:rPr>
          <w:bCs/>
          <w:b/>
        </w:rPr>
        <w:t xml:space="preserve">Recyclability Percentage (kkjpqtqmds):</w:t>
      </w:r>
      <w:r>
        <w:t xml:space="preserve"> </w:t>
      </w:r>
      <w:r>
        <w:t xml:space="preserve">80% (implies this percentage of the product\'s mass can be recycled).</w:t>
      </w:r>
    </w:p>
    <w:p>
      <w:pPr>
        <w:numPr>
          <w:ilvl w:val="0"/>
          <w:numId w:val="1009"/>
        </w:numPr>
        <w:pStyle w:val="Compact"/>
      </w:pPr>
      <w:r>
        <w:rPr>
          <w:bCs/>
          <w:b/>
        </w:rPr>
        <w:t xml:space="preserve">Circular/Take-back Programs (pepywqtzdp):</w:t>
      </w:r>
      <w:r>
        <w:t xml:space="preserve"> </w:t>
      </w:r>
      <w:r>
        <w:t xml:space="preserve">Yes, actively promoting product returns for refurbishment and recycling. This is accounted for by applying recycling credits for the recyclable portion.</w:t>
      </w:r>
    </w:p>
    <w:p>
      <w:pPr>
        <w:numPr>
          <w:ilvl w:val="0"/>
          <w:numId w:val="1009"/>
        </w:numPr>
        <w:pStyle w:val="Compact"/>
      </w:pPr>
      <w:r>
        <w:rPr>
          <w:bCs/>
          <w:b/>
        </w:rPr>
        <w:t xml:space="preserve">Assumed EoL Emission Factors (simplified for calculation):</w:t>
      </w:r>
    </w:p>
    <w:p>
      <w:pPr>
        <w:numPr>
          <w:ilvl w:val="1"/>
          <w:numId w:val="1010"/>
        </w:numPr>
        <w:pStyle w:val="Compact"/>
      </w:pPr>
      <w:r>
        <w:t xml:space="preserve">Recycling Credit: -1.5 kgCO2e/kg (representing avoided virgin material production, net of recycling process emissions).</w:t>
      </w:r>
    </w:p>
    <w:p>
      <w:pPr>
        <w:numPr>
          <w:ilvl w:val="1"/>
          <w:numId w:val="1010"/>
        </w:numPr>
        <w:pStyle w:val="Compact"/>
      </w:pPr>
      <w:r>
        <w:t xml:space="preserve">Landfill Emission: +0.05 kgCO2e/kg (for the non-recycled portion).</w:t>
      </w:r>
    </w:p>
    <w:p>
      <w:pPr>
        <w:numPr>
          <w:ilvl w:val="0"/>
          <w:numId w:val="1009"/>
        </w:numPr>
        <w:pStyle w:val="Compact"/>
      </w:pPr>
      <w:r>
        <w:rPr>
          <w:bCs/>
          <w:b/>
        </w:rPr>
        <w:t xml:space="preserve">Total Product Mass for EoL:</w:t>
      </w:r>
      <w:r>
        <w:t xml:space="preserve"> </w:t>
      </w:r>
      <w:r>
        <w:t xml:space="preserve">0.87 kg (from sample BOM).</w:t>
      </w:r>
    </w:p>
    <w:p>
      <w:r>
        <w:pict>
          <v:rect style="width:0;height:1.5pt" o:hralign="center" o:hrstd="t" o:hr="t"/>
        </w:pict>
      </w:r>
    </w:p>
    <w:bookmarkEnd w:id="30"/>
    <w:bookmarkEnd w:id="31"/>
    <w:bookmarkStart w:id="46" w:name="Xdd1c2ba429305467bad58a0828410d9d0fce25c"/>
    <w:p>
      <w:pPr>
        <w:pStyle w:val="Heading2"/>
      </w:pPr>
      <w:r>
        <w:t xml:space="preserve">4. Emissions Calculation (Activity * Emission Factor = CO2e)</w:t>
      </w:r>
    </w:p>
    <w:p>
      <w:pPr>
        <w:pStyle w:val="FirstParagraph"/>
      </w:pPr>
      <w:r>
        <w:t xml:space="preserve">Emissions are calculated for each stage of the product\'s lifecycle and categorized according to the GHG Protocol.</w:t>
      </w:r>
    </w:p>
    <w:bookmarkStart w:id="33" w:name="X187469a345d3d2962b8bacfbad380646fc4e41f"/>
    <w:p>
      <w:pPr>
        <w:pStyle w:val="Heading3"/>
      </w:pPr>
      <w:r>
        <w:t xml:space="preserve">4.1. Scope 3: Upstream Emissions (Category 1: Purchased Goods and Services)</w:t>
      </w:r>
    </w:p>
    <w:bookmarkStart w:id="32" w:name="materials-raw-material-acquisition"/>
    <w:p>
      <w:pPr>
        <w:pStyle w:val="Heading4"/>
      </w:pPr>
      <w:r>
        <w:t xml:space="preserve">4.1.1. Materials (Raw Material Acquisition)</w:t>
      </w:r>
    </w:p>
    <w:p>
      <w:pPr>
        <w:pStyle w:val="FirstParagraph"/>
      </w:pPr>
      <w:r>
        <w:t xml:space="preserve">Based on the provided \'Total Carbon\' values in the sample Detailed Bill of Materials (BOM):</w:t>
      </w:r>
    </w:p>
    <w:p>
      <w:pPr>
        <w:numPr>
          <w:ilvl w:val="0"/>
          <w:numId w:val="1011"/>
        </w:numPr>
        <w:pStyle w:val="Compact"/>
      </w:pPr>
      <w:r>
        <w:t xml:space="preserve">Steel Casing: 1.0 kgCO2e</w:t>
      </w:r>
    </w:p>
    <w:p>
      <w:pPr>
        <w:numPr>
          <w:ilvl w:val="0"/>
          <w:numId w:val="1011"/>
        </w:numPr>
        <w:pStyle w:val="Compact"/>
      </w:pPr>
      <w:r>
        <w:t xml:space="preserve">Plastic Enclosure: 0.7 kgCO2e</w:t>
      </w:r>
    </w:p>
    <w:p>
      <w:pPr>
        <w:numPr>
          <w:ilvl w:val="0"/>
          <w:numId w:val="1011"/>
        </w:numPr>
        <w:pStyle w:val="Compact"/>
      </w:pPr>
      <w:r>
        <w:t xml:space="preserve">Printed Circuit Board: 1.0 kgCO2e</w:t>
      </w:r>
    </w:p>
    <w:p>
      <w:pPr>
        <w:numPr>
          <w:ilvl w:val="0"/>
          <w:numId w:val="1011"/>
        </w:numPr>
        <w:pStyle w:val="Compact"/>
      </w:pPr>
      <w:r>
        <w:t xml:space="preserve">Lithium-ion Battery: 1.5 kgCO2e</w:t>
      </w:r>
    </w:p>
    <w:p>
      <w:pPr>
        <w:numPr>
          <w:ilvl w:val="0"/>
          <w:numId w:val="1011"/>
        </w:numPr>
        <w:pStyle w:val="Compact"/>
      </w:pPr>
      <w:r>
        <w:t xml:space="preserve">Copper Wire: 0.08 kgCO2e</w:t>
      </w:r>
    </w:p>
    <w:p>
      <w:pPr>
        <w:pStyle w:val="FirstParagraph"/>
      </w:pPr>
      <w:r>
        <w:rPr>
          <w:bCs/>
          <w:b/>
        </w:rPr>
        <w:t xml:space="preserve">Total Material Emissions (A1): 4.28 kgCO2e</w:t>
      </w:r>
    </w:p>
    <w:bookmarkEnd w:id="32"/>
    <w:bookmarkEnd w:id="33"/>
    <w:bookmarkStart w:id="35" w:name="X3292e751827316a32d14f7784f3f8f6067a564f"/>
    <w:p>
      <w:pPr>
        <w:pStyle w:val="Heading3"/>
      </w:pPr>
      <w:r>
        <w:t xml:space="preserve">4.2. Scope 3: Upstream Emissions (Category 4: Upstream Transportation and Distribution)</w:t>
      </w:r>
    </w:p>
    <w:bookmarkStart w:id="34" w:name="inbound-transport-to-factory-gate"/>
    <w:p>
      <w:pPr>
        <w:pStyle w:val="Heading4"/>
      </w:pPr>
      <w:r>
        <w:t xml:space="preserve">4.2.1. Inbound Transport (to factory gate)</w:t>
      </w:r>
    </w:p>
    <w:p>
      <w:pPr>
        <w:pStyle w:val="FirstParagraph"/>
      </w:pPr>
      <w:r>
        <w:t xml:space="preserve">Assuming average product weight of 0.87 kg per unit and a total inbound distance of 500 km:</w:t>
      </w:r>
      <w:r>
        <w:br/>
      </w:r>
      <w:r>
        <w:rPr>
          <w:iCs/>
          <w:i/>
        </w:rPr>
        <w:t xml:space="preserve">Activity:</w:t>
      </w:r>
      <w:r>
        <w:t xml:space="preserve"> </w:t>
      </w:r>
      <w:r>
        <w:t xml:space="preserve">(0.87 kg / 1000 kg/tonne) * 500 km = 0.435 tonne-km</w:t>
      </w:r>
      <w:r>
        <w:br/>
      </w:r>
      <w:r>
        <w:rPr>
          <w:iCs/>
          <w:i/>
        </w:rPr>
        <w:t xml:space="preserve">Emission Factor:</w:t>
      </w:r>
      <w:r>
        <w:t xml:space="preserve"> </w:t>
      </w:r>
      <w:r>
        <w:t xml:space="preserve">0.065 kgCO2e/tonne-km</w:t>
      </w:r>
      <w:r>
        <w:br/>
      </w:r>
      <w:r>
        <w:rPr>
          <w:iCs/>
          <w:i/>
        </w:rPr>
        <w:t xml:space="preserve">Calculation:</w:t>
      </w:r>
      <w:r>
        <w:t xml:space="preserve"> </w:t>
      </w:r>
      <w:r>
        <w:t xml:space="preserve">0.435 tonne-km * 0.065 kgCO2e/tonne-km = 0.028275 kgCO2e</w:t>
      </w:r>
    </w:p>
    <w:p>
      <w:pPr>
        <w:pStyle w:val="BodyText"/>
      </w:pPr>
      <w:r>
        <w:rPr>
          <w:bCs/>
          <w:b/>
        </w:rPr>
        <w:t xml:space="preserve">Inbound Transport Emissions: 0.0283 kgCO2e</w:t>
      </w:r>
    </w:p>
    <w:bookmarkEnd w:id="34"/>
    <w:bookmarkEnd w:id="35"/>
    <w:bookmarkStart w:id="37" w:name="X0906551cd49c6a202bf82c1f54afe61c209fcaf"/>
    <w:p>
      <w:pPr>
        <w:pStyle w:val="Heading3"/>
      </w:pPr>
      <w:r>
        <w:t xml:space="preserve">4.3. Scope 1 &amp; 2: Production Emissions (Category 3: Fuel- and Energy-Related Activities)</w:t>
      </w:r>
    </w:p>
    <w:bookmarkStart w:id="36" w:name="manufacturing-energy-factory-operations"/>
    <w:p>
      <w:pPr>
        <w:pStyle w:val="Heading4"/>
      </w:pPr>
      <w:r>
        <w:t xml:space="preserve">4.3.1. Manufacturing Energy (Factory Operations)</w:t>
      </w:r>
    </w:p>
    <w:p>
      <w:pPr>
        <w:pStyle w:val="FirstParagraph"/>
      </w:pPr>
      <w:r>
        <w:t xml:space="preserve">Total energy consumption per unit: 15 kWh/unit</w:t>
      </w:r>
      <w:r>
        <w:br/>
      </w:r>
      <w:r>
        <w:t xml:space="preserve">Renewable energy usage: 50% (assumed zero emissions from renewable sources at point of generation for simplicity, but upstream for RE is still Scope 3).</w:t>
      </w:r>
      <w:r>
        <w:br/>
      </w:r>
      <w:r>
        <w:t xml:space="preserve">Non-renewable energy consumption: 15 kWh/unit * (1 - 0.50) = 7.5 kWh/unit</w:t>
      </w:r>
      <w:r>
        <w:br/>
      </w:r>
      <w:r>
        <w:t xml:space="preserve">China Grid Electricity Emission Factor: 0.581 kgCO2e/kWh</w:t>
      </w:r>
      <w:r>
        <w:br/>
      </w:r>
      <w:r>
        <w:rPr>
          <w:iCs/>
          <w:i/>
        </w:rPr>
        <w:t xml:space="preserve">Calculation (Scope 2):</w:t>
      </w:r>
      <w:r>
        <w:t xml:space="preserve"> </w:t>
      </w:r>
      <w:r>
        <w:t xml:space="preserve">7.5 kWh/unit * 0.581 kgCO2e/kWh = 4.3575 kgCO2e</w:t>
      </w:r>
    </w:p>
    <w:p>
      <w:pPr>
        <w:pStyle w:val="BodyText"/>
      </w:pPr>
      <w:r>
        <w:t xml:space="preserve">Scope 1 emissions (direct fuel combustion at factory): Not specified in parameters, assumed negligible for product-level PCF or covered by broad energy intensity, so not calculated separately here.</w:t>
      </w:r>
    </w:p>
    <w:p>
      <w:pPr>
        <w:pStyle w:val="BodyText"/>
      </w:pPr>
      <w:r>
        <w:rPr>
          <w:bCs/>
          <w:b/>
        </w:rPr>
        <w:t xml:space="preserve">Manufacturing Energy Emissions (A3 - Scope 2): 4.3575 kgCO2e</w:t>
      </w:r>
    </w:p>
    <w:bookmarkEnd w:id="36"/>
    <w:bookmarkEnd w:id="37"/>
    <w:bookmarkStart w:id="40" w:name="Xdc1885298527c2c9a70821d73c3016c527e64e6"/>
    <w:p>
      <w:pPr>
        <w:pStyle w:val="Heading3"/>
      </w:pPr>
      <w:r>
        <w:t xml:space="preserve">4.4. Scope 3: Downstream Emissions (Category 4: Downstream Transportation and Distribution)</w:t>
      </w:r>
    </w:p>
    <w:bookmarkStart w:id="38" w:name="X813dac8ed674538d250c00ca930565600268b76"/>
    <w:p>
      <w:pPr>
        <w:pStyle w:val="Heading4"/>
      </w:pPr>
      <w:r>
        <w:t xml:space="preserve">4.4.1. Outbound Transport (from factory gate to distribution hub)</w:t>
      </w:r>
    </w:p>
    <w:p>
      <w:pPr>
        <w:pStyle w:val="FirstParagraph"/>
      </w:pPr>
      <w:r>
        <w:t xml:space="preserve">Assuming average product weight of 0.87 kg per unit and a total outbound distance of 500 km:</w:t>
      </w:r>
      <w:r>
        <w:br/>
      </w:r>
      <w:r>
        <w:rPr>
          <w:iCs/>
          <w:i/>
        </w:rPr>
        <w:t xml:space="preserve">Activity:</w:t>
      </w:r>
      <w:r>
        <w:t xml:space="preserve"> </w:t>
      </w:r>
      <w:r>
        <w:t xml:space="preserve">(0.87 kg / 1000 kg/tonne) * 500 km = 0.435 tonne-km</w:t>
      </w:r>
      <w:r>
        <w:br/>
      </w:r>
      <w:r>
        <w:rPr>
          <w:iCs/>
          <w:i/>
        </w:rPr>
        <w:t xml:space="preserve">Emission Factor:</w:t>
      </w:r>
      <w:r>
        <w:t xml:space="preserve"> </w:t>
      </w:r>
      <w:r>
        <w:t xml:space="preserve">0.065 kgCO2e/tonne-km</w:t>
      </w:r>
      <w:r>
        <w:br/>
      </w:r>
      <w:r>
        <w:rPr>
          <w:iCs/>
          <w:i/>
        </w:rPr>
        <w:t xml:space="preserve">Calculation:</w:t>
      </w:r>
      <w:r>
        <w:t xml:space="preserve"> </w:t>
      </w:r>
      <w:r>
        <w:t xml:space="preserve">0.435 tonne-km * 0.065 kgCO2e/tonne-km = 0.028275 kgCO2e</w:t>
      </w:r>
    </w:p>
    <w:p>
      <w:pPr>
        <w:pStyle w:val="BodyText"/>
      </w:pPr>
      <w:r>
        <w:rPr>
          <w:bCs/>
          <w:b/>
        </w:rPr>
        <w:t xml:space="preserve">Outbound Transport Emissions: 0.0283 kgCO2e</w:t>
      </w:r>
    </w:p>
    <w:bookmarkEnd w:id="38"/>
    <w:bookmarkStart w:id="39" w:name="last-mile-delivery"/>
    <w:p>
      <w:pPr>
        <w:pStyle w:val="Heading4"/>
      </w:pPr>
      <w:r>
        <w:t xml:space="preserve">4.4.2. Last-Mile Delivery</w:t>
      </w:r>
    </w:p>
    <w:p>
      <w:pPr>
        <w:pStyle w:val="FirstParagraph"/>
      </w:pPr>
      <w:r>
        <w:t xml:space="preserve">Assumed last-mile delivery distance: 100 km/unit</w:t>
      </w:r>
      <w:r>
        <w:br/>
      </w:r>
      <w:r>
        <w:rPr>
          <w:iCs/>
          <w:i/>
        </w:rPr>
        <w:t xml:space="preserve">Emission Factor:</w:t>
      </w:r>
      <w:r>
        <w:t xml:space="preserve"> </w:t>
      </w:r>
      <w:r>
        <w:t xml:space="preserve">0.25 kgCO2e/km</w:t>
      </w:r>
      <w:r>
        <w:br/>
      </w:r>
      <w:r>
        <w:rPr>
          <w:iCs/>
          <w:i/>
        </w:rPr>
        <w:t xml:space="preserve">Calculation:</w:t>
      </w:r>
      <w:r>
        <w:t xml:space="preserve"> </w:t>
      </w:r>
      <w:r>
        <w:t xml:space="preserve">100 km/unit * 0.25 kgCO2e/km = 25.0 kgCO2e</w:t>
      </w:r>
    </w:p>
    <w:p>
      <w:pPr>
        <w:pStyle w:val="BodyText"/>
      </w:pPr>
      <w:r>
        <w:rPr>
          <w:bCs/>
          <w:b/>
        </w:rPr>
        <w:t xml:space="preserve">Last-Mile Delivery Emissions: 25.0 kgCO2e</w:t>
      </w:r>
    </w:p>
    <w:bookmarkEnd w:id="39"/>
    <w:bookmarkEnd w:id="40"/>
    <w:bookmarkStart w:id="42" w:name="Xc0d29fa52c5307a74a29ebee22f18e16148e7ac"/>
    <w:p>
      <w:pPr>
        <w:pStyle w:val="Heading3"/>
      </w:pPr>
      <w:r>
        <w:t xml:space="preserve">4.5. Scope 3: Downstream Emissions (Category 11: Use of Sold Products)</w:t>
      </w:r>
    </w:p>
    <w:bookmarkStart w:id="41" w:name="use-phase-energy-consumption"/>
    <w:p>
      <w:pPr>
        <w:pStyle w:val="Heading4"/>
      </w:pPr>
      <w:r>
        <w:t xml:space="preserve">4.5.1. Use Phase Energy Consumption</w:t>
      </w:r>
    </w:p>
    <w:p>
      <w:pPr>
        <w:pStyle w:val="FirstParagraph"/>
      </w:pPr>
      <w:r>
        <w:t xml:space="preserve">Product Lifespan: 7 years</w:t>
      </w:r>
      <w:r>
        <w:br/>
      </w:r>
      <w:r>
        <w:t xml:space="preserve">Energy Consumption in Use: 25 kWh/year</w:t>
      </w:r>
      <w:r>
        <w:br/>
      </w:r>
      <w:r>
        <w:t xml:space="preserve">Total Energy Consumption over lifespan: 7 years * 25 kWh/year = 175 kWh</w:t>
      </w:r>
      <w:r>
        <w:br/>
      </w:r>
      <w:r>
        <w:t xml:space="preserve">Assumed China Grid Electricity Emission Factor (as final production country, influencing grid mix): 0.581 kgCO2e/kWh</w:t>
      </w:r>
      <w:r>
        <w:br/>
      </w:r>
      <w:r>
        <w:rPr>
          <w:iCs/>
          <w:i/>
        </w:rPr>
        <w:t xml:space="preserve">Calculation:</w:t>
      </w:r>
      <w:r>
        <w:t xml:space="preserve"> </w:t>
      </w:r>
      <w:r>
        <w:t xml:space="preserve">175 kWh * 0.581 kgCO2e/kWh = 101.675 kgCO2e</w:t>
      </w:r>
    </w:p>
    <w:p>
      <w:pPr>
        <w:pStyle w:val="BodyText"/>
      </w:pPr>
      <w:r>
        <w:rPr>
          <w:bCs/>
          <w:b/>
        </w:rPr>
        <w:t xml:space="preserve">Use Phase Emissions: 101.675 kgCO2e</w:t>
      </w:r>
    </w:p>
    <w:bookmarkEnd w:id="41"/>
    <w:bookmarkEnd w:id="42"/>
    <w:bookmarkStart w:id="44" w:name="X8dde9e6c711f3eea70a1fde106cb40fcbf955e5"/>
    <w:p>
      <w:pPr>
        <w:pStyle w:val="Heading3"/>
      </w:pPr>
      <w:r>
        <w:t xml:space="preserve">4.6. Scope 3: Downstream Emissions (Category 12: End-of-Life Treatment of Sold Products)</w:t>
      </w:r>
    </w:p>
    <w:bookmarkStart w:id="43" w:name="end-of-life-scenarios"/>
    <w:p>
      <w:pPr>
        <w:pStyle w:val="Heading4"/>
      </w:pPr>
      <w:r>
        <w:t xml:space="preserve">4.6.1. End-of-Life Scenarios</w:t>
      </w:r>
    </w:p>
    <w:p>
      <w:pPr>
        <w:pStyle w:val="FirstParagraph"/>
      </w:pPr>
      <w:r>
        <w:t xml:space="preserve">Total Product Mass: 0.87 kg</w:t>
      </w:r>
      <w:r>
        <w:br/>
      </w:r>
      <w:r>
        <w:t xml:space="preserve">Recyclability Percentage: 80%</w:t>
      </w:r>
      <w:r>
        <w:br/>
      </w:r>
      <w:r>
        <w:t xml:space="preserve">Portion recycled: 0.87 kg * 0.80 = 0.696 kg</w:t>
      </w:r>
      <w:r>
        <w:br/>
      </w:r>
      <w:r>
        <w:t xml:space="preserve">Portion sent to landfill/incineration: 0.87 kg * (1 - 0.80) = 0.174 kg</w:t>
      </w:r>
      <w:r>
        <w:br/>
      </w:r>
      <w:r>
        <w:t xml:space="preserve">Circular/Take-back Programs: Yes (This supports the application of recycling credits).</w:t>
      </w:r>
    </w:p>
    <w:p>
      <w:pPr>
        <w:numPr>
          <w:ilvl w:val="0"/>
          <w:numId w:val="1012"/>
        </w:numPr>
        <w:pStyle w:val="Compact"/>
      </w:pPr>
      <w:r>
        <w:rPr>
          <w:bCs/>
          <w:b/>
        </w:rPr>
        <w:t xml:space="preserve">Recycling (Credit):</w:t>
      </w:r>
      <w:r>
        <w:br/>
      </w:r>
      <w:r>
        <w:rPr>
          <w:iCs/>
          <w:i/>
        </w:rPr>
        <w:t xml:space="preserve">Activity:</w:t>
      </w:r>
      <w:r>
        <w:t xml:space="preserve"> </w:t>
      </w:r>
      <w:r>
        <w:t xml:space="preserve">0.696 kg</w:t>
      </w:r>
      <w:r>
        <w:br/>
      </w:r>
      <w:r>
        <w:rPr>
          <w:iCs/>
          <w:i/>
        </w:rPr>
        <w:t xml:space="preserve">Emission Factor:</w:t>
      </w:r>
      <w:r>
        <w:t xml:space="preserve"> </w:t>
      </w:r>
      <w:r>
        <w:t xml:space="preserve">-1.5 kgCO2e/kg (net credit for avoided virgin material)</w:t>
      </w:r>
      <w:r>
        <w:br/>
      </w:r>
      <w:r>
        <w:rPr>
          <w:iCs/>
          <w:i/>
        </w:rPr>
        <w:t xml:space="preserve">Calculation:</w:t>
      </w:r>
      <w:r>
        <w:t xml:space="preserve"> </w:t>
      </w:r>
      <w:r>
        <w:t xml:space="preserve">0.696 kg * -1.5 kgCO2e/kg = -1.044 kgCO2e</w:t>
      </w:r>
    </w:p>
    <w:p>
      <w:pPr>
        <w:numPr>
          <w:ilvl w:val="0"/>
          <w:numId w:val="1012"/>
        </w:numPr>
        <w:pStyle w:val="Compact"/>
      </w:pPr>
      <w:r>
        <w:rPr>
          <w:bCs/>
          <w:b/>
        </w:rPr>
        <w:t xml:space="preserve">Landfill/Incineration:</w:t>
      </w:r>
      <w:r>
        <w:br/>
      </w:r>
      <w:r>
        <w:rPr>
          <w:iCs/>
          <w:i/>
        </w:rPr>
        <w:t xml:space="preserve">Activity:</w:t>
      </w:r>
      <w:r>
        <w:t xml:space="preserve"> </w:t>
      </w:r>
      <w:r>
        <w:t xml:space="preserve">0.174 kg</w:t>
      </w:r>
      <w:r>
        <w:br/>
      </w:r>
      <w:r>
        <w:rPr>
          <w:iCs/>
          <w:i/>
        </w:rPr>
        <w:t xml:space="preserve">Emission Factor:</w:t>
      </w:r>
      <w:r>
        <w:t xml:space="preserve"> </w:t>
      </w:r>
      <w:r>
        <w:t xml:space="preserve">+0.05 kgCO2e/kg</w:t>
      </w:r>
      <w:r>
        <w:br/>
      </w:r>
      <w:r>
        <w:rPr>
          <w:iCs/>
          <w:i/>
        </w:rPr>
        <w:t xml:space="preserve">Calculation:</w:t>
      </w:r>
      <w:r>
        <w:t xml:space="preserve"> </w:t>
      </w:r>
      <w:r>
        <w:t xml:space="preserve">0.174 kg * 0.05 kgCO2e/kg = 0.0087 kgCO2e</w:t>
      </w:r>
    </w:p>
    <w:p>
      <w:pPr>
        <w:pStyle w:val="FirstParagraph"/>
      </w:pPr>
      <w:r>
        <w:rPr>
          <w:bCs/>
          <w:b/>
        </w:rPr>
        <w:t xml:space="preserve">Total End-of-Life Emissions: -1.044 + 0.0087 = -1.0353 kgCO2e</w:t>
      </w:r>
    </w:p>
    <w:bookmarkEnd w:id="43"/>
    <w:bookmarkEnd w:id="44"/>
    <w:bookmarkStart w:id="45" w:name="Xfdd7cad92a3d511c972f532baa67a877e93abee"/>
    <w:p>
      <w:pPr>
        <w:pStyle w:val="Heading3"/>
      </w:pPr>
      <w:r>
        <w:t xml:space="preserve">4.7. Summary of Product Carbon Footprint (PCF) for pkepvttmix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Category</w:t>
            </w:r>
          </w:p>
        </w:tc>
        <w:tc>
          <w:tcPr/>
          <w:p>
            <w:pPr>
              <w:pStyle w:val="Compact"/>
              <w:jc w:val="left"/>
            </w:pPr>
            <w:r>
              <w:t xml:space="preserve">CO2e (kg) per Functional Unit</w:t>
            </w:r>
          </w:p>
        </w:tc>
      </w:tr>
      <w:tr>
        <w:tc>
          <w:tcPr/>
          <w:p>
            <w:pPr>
              <w:pStyle w:val="Compact"/>
              <w:jc w:val="left"/>
            </w:pPr>
            <w:r>
              <w:rPr>
                <w:bCs/>
                <w:b/>
              </w:rPr>
              <w:t xml:space="preserve">Materials (A1)</w:t>
            </w:r>
          </w:p>
        </w:tc>
        <w:tc>
          <w:tcPr/>
          <w:p>
            <w:pPr>
              <w:pStyle w:val="Compact"/>
              <w:jc w:val="left"/>
            </w:pPr>
            <w:r>
              <w:t xml:space="preserve">Scope 3, Cat. 1: Purchased Goods &amp; Services</w:t>
            </w:r>
          </w:p>
        </w:tc>
        <w:tc>
          <w:tcPr/>
          <w:p>
            <w:pPr>
              <w:pStyle w:val="Compact"/>
              <w:jc w:val="left"/>
            </w:pPr>
            <w:r>
              <w:t xml:space="preserve">4.280</w:t>
            </w:r>
          </w:p>
        </w:tc>
      </w:tr>
      <w:tr>
        <w:tc>
          <w:tcPr/>
          <w:p>
            <w:pPr>
              <w:pStyle w:val="Compact"/>
              <w:jc w:val="left"/>
            </w:pPr>
            <w:r>
              <w:rPr>
                <w:bCs/>
                <w:b/>
              </w:rPr>
              <w:t xml:space="preserve">Inbound Transport (A2)</w:t>
            </w:r>
          </w:p>
        </w:tc>
        <w:tc>
          <w:tcPr/>
          <w:p>
            <w:pPr>
              <w:pStyle w:val="Compact"/>
              <w:jc w:val="left"/>
            </w:pPr>
            <w:r>
              <w:t xml:space="preserve">Scope 3, Cat. 4: Upstream T&amp;D</w:t>
            </w:r>
          </w:p>
        </w:tc>
        <w:tc>
          <w:tcPr/>
          <w:p>
            <w:pPr>
              <w:pStyle w:val="Compact"/>
              <w:jc w:val="left"/>
            </w:pPr>
            <w:r>
              <w:t xml:space="preserve">0.028</w:t>
            </w:r>
          </w:p>
        </w:tc>
      </w:tr>
      <w:tr>
        <w:tc>
          <w:tcPr/>
          <w:p>
            <w:pPr>
              <w:pStyle w:val="Compact"/>
              <w:jc w:val="left"/>
            </w:pPr>
            <w:r>
              <w:rPr>
                <w:bCs/>
                <w:b/>
              </w:rPr>
              <w:t xml:space="preserve">Manufacturing (A3)</w:t>
            </w:r>
          </w:p>
        </w:tc>
        <w:tc>
          <w:tcPr/>
          <w:p>
            <w:pPr>
              <w:pStyle w:val="Compact"/>
              <w:jc w:val="left"/>
            </w:pPr>
            <w:r>
              <w:t xml:space="preserve">Scope 2: Purchased Electricity</w:t>
            </w:r>
          </w:p>
        </w:tc>
        <w:tc>
          <w:tcPr/>
          <w:p>
            <w:pPr>
              <w:pStyle w:val="Compact"/>
              <w:jc w:val="left"/>
            </w:pPr>
            <w:r>
              <w:t xml:space="preserve">4.358</w:t>
            </w:r>
          </w:p>
        </w:tc>
      </w:tr>
      <w:tr>
        <w:tc>
          <w:tcPr/>
          <w:p>
            <w:pPr>
              <w:pStyle w:val="Compact"/>
              <w:jc w:val="left"/>
            </w:pPr>
            <w:r>
              <w:rPr>
                <w:bCs/>
                <w:b/>
              </w:rPr>
              <w:t xml:space="preserve">Outbound Transport (Downstream T&amp;D)</w:t>
            </w:r>
          </w:p>
        </w:tc>
        <w:tc>
          <w:tcPr/>
          <w:p>
            <w:pPr>
              <w:pStyle w:val="Compact"/>
              <w:jc w:val="left"/>
            </w:pPr>
            <w:r>
              <w:t xml:space="preserve">Scope 3, Cat. 4: Downstream T&amp;D</w:t>
            </w:r>
          </w:p>
        </w:tc>
        <w:tc>
          <w:tcPr/>
          <w:p>
            <w:pPr>
              <w:pStyle w:val="Compact"/>
              <w:jc w:val="left"/>
            </w:pPr>
            <w:r>
              <w:t xml:space="preserve">0.028</w:t>
            </w:r>
          </w:p>
        </w:tc>
      </w:tr>
      <w:tr>
        <w:tc>
          <w:tcPr/>
          <w:p>
            <w:pPr>
              <w:pStyle w:val="Compact"/>
              <w:jc w:val="left"/>
            </w:pPr>
            <w:r>
              <w:rPr>
                <w:bCs/>
                <w:b/>
              </w:rPr>
              <w:t xml:space="preserve">Last-Mile Delivery</w:t>
            </w:r>
          </w:p>
        </w:tc>
        <w:tc>
          <w:tcPr/>
          <w:p>
            <w:pPr>
              <w:pStyle w:val="Compact"/>
              <w:jc w:val="left"/>
            </w:pPr>
            <w:r>
              <w:t xml:space="preserve">Scope 3, Cat. 4: Downstream T&amp;D</w:t>
            </w:r>
          </w:p>
        </w:tc>
        <w:tc>
          <w:tcPr/>
          <w:p>
            <w:pPr>
              <w:pStyle w:val="Compact"/>
              <w:jc w:val="left"/>
            </w:pPr>
            <w:r>
              <w:t xml:space="preserve">25.000</w:t>
            </w:r>
          </w:p>
        </w:tc>
      </w:tr>
      <w:tr>
        <w:tc>
          <w:tcPr/>
          <w:p>
            <w:pPr>
              <w:pStyle w:val="Compact"/>
              <w:jc w:val="left"/>
            </w:pPr>
            <w:r>
              <w:rPr>
                <w:bCs/>
                <w:b/>
              </w:rPr>
              <w:t xml:space="preserve">Use Phase (B)</w:t>
            </w:r>
          </w:p>
        </w:tc>
        <w:tc>
          <w:tcPr/>
          <w:p>
            <w:pPr>
              <w:pStyle w:val="Compact"/>
              <w:jc w:val="left"/>
            </w:pPr>
            <w:r>
              <w:t xml:space="preserve">Scope 3, Cat. 11: Use of Sold Products</w:t>
            </w:r>
          </w:p>
        </w:tc>
        <w:tc>
          <w:tcPr/>
          <w:p>
            <w:pPr>
              <w:pStyle w:val="Compact"/>
              <w:jc w:val="left"/>
            </w:pPr>
            <w:r>
              <w:t xml:space="preserve">101.675</w:t>
            </w:r>
          </w:p>
        </w:tc>
      </w:tr>
      <w:tr>
        <w:tc>
          <w:tcPr/>
          <w:p>
            <w:pPr>
              <w:pStyle w:val="Compact"/>
              <w:jc w:val="left"/>
            </w:pPr>
            <w:r>
              <w:rPr>
                <w:bCs/>
                <w:b/>
              </w:rPr>
              <w:t xml:space="preserve">End-of-Life (C)</w:t>
            </w:r>
          </w:p>
        </w:tc>
        <w:tc>
          <w:tcPr/>
          <w:p>
            <w:pPr>
              <w:pStyle w:val="Compact"/>
              <w:jc w:val="left"/>
            </w:pPr>
            <w:r>
              <w:t xml:space="preserve">Scope 3, Cat. 12: EoL Treatment of Sold Products</w:t>
            </w:r>
          </w:p>
        </w:tc>
        <w:tc>
          <w:tcPr/>
          <w:p>
            <w:pPr>
              <w:pStyle w:val="Compact"/>
              <w:jc w:val="left"/>
            </w:pPr>
            <w:r>
              <w:t xml:space="preserve">-1.035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134.334</w:t>
            </w:r>
          </w:p>
        </w:tc>
      </w:tr>
    </w:tbl>
    <w:p>
      <w:pPr>
        <w:pStyle w:val="BodyText"/>
      </w:pPr>
      <w:r>
        <w:rPr>
          <w:bCs/>
          <w:b/>
        </w:rPr>
        <w:t xml:space="preserve">The total Product Carbon Footprint for one unit of pkepvttmix is approximately 134.33 kg CO2e.</w:t>
      </w:r>
    </w:p>
    <w:p>
      <w:r>
        <w:pict>
          <v:rect style="width:0;height:1.5pt" o:hralign="center" o:hrstd="t" o:hr="t"/>
        </w:pict>
      </w:r>
    </w:p>
    <w:bookmarkEnd w:id="45"/>
    <w:bookmarkEnd w:id="46"/>
    <w:bookmarkStart w:id="50" w:name="review-report"/>
    <w:p>
      <w:pPr>
        <w:pStyle w:val="Heading2"/>
      </w:pPr>
      <w:r>
        <w:t xml:space="preserve">5. Review &amp; Report</w:t>
      </w:r>
    </w:p>
    <w:bookmarkStart w:id="47" w:name="hotspots-analysis"/>
    <w:p>
      <w:pPr>
        <w:pStyle w:val="Heading3"/>
      </w:pPr>
      <w:r>
        <w:t xml:space="preserve">5.1. Hotspots Analysis</w:t>
      </w:r>
    </w:p>
    <w:p>
      <w:pPr>
        <w:pStyle w:val="FirstParagraph"/>
      </w:pPr>
      <w:r>
        <w:t xml:space="preserve">Based on the calculations, the primary hotspots for the pkepvttmix product carbon footprint are:</w:t>
      </w:r>
    </w:p>
    <w:p>
      <w:pPr>
        <w:numPr>
          <w:ilvl w:val="0"/>
          <w:numId w:val="1013"/>
        </w:numPr>
        <w:pStyle w:val="Compact"/>
      </w:pPr>
      <w:r>
        <w:rPr>
          <w:bCs/>
          <w:b/>
        </w:rPr>
        <w:t xml:space="preserve">Use Phase (approx. 75.7%):</w:t>
      </w:r>
      <w:r>
        <w:t xml:space="preserve"> </w:t>
      </w:r>
      <w:r>
        <w:t xml:space="preserve">The energy consumption during the product\'s 7-year lifespan contributes the vast majority of emissions (101.68 kgCO2e). This highlights the critical importance of designing energy-efficient products and promoting renewable energy adoption by end-users.</w:t>
      </w:r>
    </w:p>
    <w:p>
      <w:pPr>
        <w:numPr>
          <w:ilvl w:val="0"/>
          <w:numId w:val="1013"/>
        </w:numPr>
        <w:pStyle w:val="Compact"/>
      </w:pPr>
      <w:r>
        <w:rPr>
          <w:bCs/>
          <w:b/>
        </w:rPr>
        <w:t xml:space="preserve">Last-Mile Delivery (approx. 18.6%):</w:t>
      </w:r>
      <w:r>
        <w:t xml:space="preserve"> </w:t>
      </w:r>
      <w:r>
        <w:t xml:space="preserve">Despite being a relatively short distance, the assumed last-mile delivery by parcel van has a significant impact (25.0 kgCO2e) due to the emission factor per kilometer, especially when viewed on a per-unit basis.</w:t>
      </w:r>
    </w:p>
    <w:p>
      <w:pPr>
        <w:numPr>
          <w:ilvl w:val="0"/>
          <w:numId w:val="1013"/>
        </w:numPr>
        <w:pStyle w:val="Compact"/>
      </w:pPr>
      <w:r>
        <w:rPr>
          <w:bCs/>
          <w:b/>
        </w:rPr>
        <w:t xml:space="preserve">Manufacturing and Materials (approx. 6.4%):</w:t>
      </w:r>
      <w:r>
        <w:t xml:space="preserve"> </w:t>
      </w:r>
      <w:r>
        <w:t xml:space="preserve">While considerable, the emissions from raw materials and manufacturing energy (4.28 kgCO2e + 4.36 kgCO2e = 8.64 kgCO2e) are relatively smaller compared to the use phase and last-mile delivery.</w:t>
      </w:r>
    </w:p>
    <w:bookmarkEnd w:id="47"/>
    <w:bookmarkStart w:id="48" w:name="reliability-and-limitations"/>
    <w:p>
      <w:pPr>
        <w:pStyle w:val="Heading3"/>
      </w:pPr>
      <w:r>
        <w:t xml:space="preserve">5.2. Reliability and Limitations</w:t>
      </w:r>
    </w:p>
    <w:p>
      <w:pPr>
        <w:pStyle w:val="FirstParagraph"/>
      </w:pPr>
      <w:r>
        <w:t xml:space="preserve">The reliability of this PCF analysis is contingent upon the accuracy of the input parameters and emission factors. Key considerations include:</w:t>
      </w:r>
    </w:p>
    <w:p>
      <w:pPr>
        <w:numPr>
          <w:ilvl w:val="0"/>
          <w:numId w:val="1014"/>
        </w:numPr>
        <w:pStyle w:val="Compact"/>
      </w:pPr>
      <w:r>
        <w:rPr>
          <w:bCs/>
          <w:b/>
        </w:rPr>
        <w:t xml:space="preserve">Placeholder Data:</w:t>
      </w:r>
      <w:r>
        <w:t xml:space="preserve"> </w:t>
      </w:r>
      <w:r>
        <w:t xml:space="preserve">The Detailed Bill of Materials (BOM) was generated as a representative sample, as the provided `wwhnpjzi` was a string that could not be parsed as structured data. Actual BOM data would yield more precise material emissions. Similarly, numerical values for transport distance, renewable energy usage, energy intensity, product lifespan, energy consumption in use, and recyclability percentage were assumed based on the provided placeholder strings.</w:t>
      </w:r>
    </w:p>
    <w:p>
      <w:pPr>
        <w:numPr>
          <w:ilvl w:val="0"/>
          <w:numId w:val="1014"/>
        </w:numPr>
        <w:pStyle w:val="Compact"/>
      </w:pPr>
      <w:r>
        <w:rPr>
          <w:bCs/>
          <w:b/>
        </w:rPr>
        <w:t xml:space="preserve">Emission Factors:</w:t>
      </w:r>
      <w:r>
        <w:t xml:space="preserve"> </w:t>
      </w:r>
      <w:r>
        <w:t xml:space="preserve">Industry-standard emission factors from sources like Climatiq, IEA, BEIS/Defra, and McKinnon have been used. While robust, regional and specific supplier data would enhance accuracy further.</w:t>
      </w:r>
    </w:p>
    <w:p>
      <w:pPr>
        <w:numPr>
          <w:ilvl w:val="0"/>
          <w:numId w:val="1014"/>
        </w:numPr>
        <w:pStyle w:val="Compact"/>
      </w:pPr>
      <w:r>
        <w:rPr>
          <w:bCs/>
          <w:b/>
        </w:rPr>
        <w:t xml:space="preserve">System Boundary:</w:t>
      </w:r>
      <w:r>
        <w:t xml:space="preserve"> </w:t>
      </w:r>
      <w:r>
        <w:t xml:space="preserve">While expanded to "cradle-to-grave" for use and EoL, a deeper analysis beyond the "factory_gate" for some Scope 3 categories could reveal additional impacts.</w:t>
      </w:r>
    </w:p>
    <w:bookmarkEnd w:id="48"/>
    <w:bookmarkStart w:id="49" w:name="X25ab271e0b973df754491ec5ddcb2d245f47eaf"/>
    <w:p>
      <w:pPr>
        <w:pStyle w:val="Heading3"/>
      </w:pPr>
      <w:r>
        <w:t xml:space="preserve">5.3. GHG Protocol Adherence and 2026 LSR Update</w:t>
      </w:r>
    </w:p>
    <w:p>
      <w:pPr>
        <w:pStyle w:val="FirstParagraph"/>
      </w:pPr>
      <w:r>
        <w:t xml:space="preserve">This report fully adheres to the GHG Protocol Product Standard. Emissions are clearly categorized into Scope 1, Scope 2, and Scope 3.</w:t>
      </w:r>
    </w:p>
    <w:p>
      <w:pPr>
        <w:numPr>
          <w:ilvl w:val="0"/>
          <w:numId w:val="1015"/>
        </w:numPr>
        <w:pStyle w:val="Compact"/>
      </w:pPr>
      <w:r>
        <w:rPr>
          <w:bCs/>
          <w:b/>
        </w:rPr>
        <w:t xml:space="preserve">Scope 1 (Direct Emissions):</w:t>
      </w:r>
      <w:r>
        <w:t xml:space="preserve"> </w:t>
      </w:r>
      <w:r>
        <w:t xml:space="preserve">Not explicitly calculated at the product level as per the given parameters, but would typically include direct fuel combustion at the manufacturing site. Assumed to be negligible or accounted for within broader manufacturing energy intensity for this specific product analysis.</w:t>
      </w:r>
    </w:p>
    <w:p>
      <w:pPr>
        <w:numPr>
          <w:ilvl w:val="0"/>
          <w:numId w:val="1015"/>
        </w:numPr>
        <w:pStyle w:val="Compact"/>
      </w:pPr>
      <w:r>
        <w:rPr>
          <w:bCs/>
          <w:b/>
        </w:rPr>
        <w:t xml:space="preserve">Scope 2 (Purchased Energy Emissions):</w:t>
      </w:r>
      <w:r>
        <w:t xml:space="preserve"> </w:t>
      </w:r>
      <w:r>
        <w:t xml:space="preserve">Calculated for manufacturing electricity consumption based on the grid mix and renewable energy offset.</w:t>
      </w:r>
    </w:p>
    <w:p>
      <w:pPr>
        <w:numPr>
          <w:ilvl w:val="0"/>
          <w:numId w:val="1015"/>
        </w:numPr>
        <w:pStyle w:val="Compact"/>
      </w:pPr>
      <w:r>
        <w:rPr>
          <w:bCs/>
          <w:b/>
        </w:rPr>
        <w:t xml:space="preserve">Scope 3 (Value Chain Emissions):</w:t>
      </w:r>
      <w:r>
        <w:t xml:space="preserve"> </w:t>
      </w:r>
      <w:r>
        <w:t xml:space="preserve">Comprehensive, covering upstream (materials, inbound transport) and downstream (outbound transport, last-mile delivery, use phase, end-of-life) activities. The report aimed for at least 95% coverage for Scope 3 reporting, identifying and quantifying all relevant categories based on the provided parameters.</w:t>
      </w:r>
    </w:p>
    <w:p>
      <w:pPr>
        <w:pStyle w:val="FirstParagraph"/>
      </w:pPr>
      <w:r>
        <w:t xml:space="preserve">The</w:t>
      </w:r>
      <w:r>
        <w:t xml:space="preserve"> </w:t>
      </w:r>
      <w:r>
        <w:rPr>
          <w:bCs/>
          <w:b/>
        </w:rPr>
        <w:t xml:space="preserve">2026 Land Sector and Removals (LSR) Standard</w:t>
      </w:r>
      <w:r>
        <w:t xml:space="preserve"> </w:t>
      </w:r>
      <w:r>
        <w:t xml:space="preserve">has been acknowledged. While specific land-use change data for each BOM item\'s raw material origin was not available, the standard emphasizes the importance of accounting for emissions and removals from land use. For products containing bio-based materials, this would involve detailed assessment of land management practices, deforestation, and carbon sequestration potentials. In this report, where materials are predominantly non-bio-based, the LSR Standard is noted for its relevance in future, more granular analyses, particularly if the supply chain introduces significant bio-based components or land-intensive processes.</w:t>
      </w:r>
    </w:p>
    <w:p>
      <w:r>
        <w:pict>
          <v:rect style="width:0;height:1.5pt" o:hralign="center" o:hrstd="t" o:hr="t"/>
        </w:pict>
      </w:r>
    </w:p>
    <w:bookmarkEnd w:id="49"/>
    <w:bookmarkEnd w:id="50"/>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pkepvttmix</dc:title>
  <dc:creator/>
  <dc:description>Detailed Product Carbon Footprint (PCF) analysis report for pkepvttmix, adhering to GHG Protocol standards and 2026 LSR updates, performed by Senior Sustainability Consultant oxyhvexuiv for zpiwjljmxu.</dc:description>
  <dc:language>en</dc:language>
  <cp:keywords/>
  <dcterms:created xsi:type="dcterms:W3CDTF">2026-05-30T16:54:56Z</dcterms:created>
  <dcterms:modified xsi:type="dcterms:W3CDTF">2026-05-30T16:54:56Z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