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pjsjpjkgmd</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pjsjpjkgmd</w:t>
      </w:r>
    </w:p>
    <w:p>
      <w:pPr>
        <w:pStyle w:val="BodyText"/>
      </w:pPr>
      <w:r>
        <w:rPr>
          <w:bCs/>
          <w:b/>
        </w:rPr>
        <w:t xml:space="preserve">Company Name:</w:t>
      </w:r>
      <w:r>
        <w:t xml:space="preserve"> </w:t>
      </w:r>
      <w:r>
        <w:t xml:space="preserve">odmhjvxyuk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ifjlmjkrwn</w:t>
      </w:r>
    </w:p>
    <w:p>
      <w:pPr>
        <w:pStyle w:val="BodyText"/>
      </w:pPr>
      <w:r>
        <w:t xml:space="preserve">This report is generated based on available data and industry standards. While every effort has been made to ensure accuracy, the results are subject to the limitations of the data sources and assumptions made during the analysis.</w:t>
      </w:r>
    </w:p>
    <w:bookmarkEnd w:id="20"/>
    <w:p>
      <w:pPr>
        <w:pStyle w:val="BodyText"/>
      </w:pPr>
      <w:r>
        <w:t xml:space="preserve">Generated Date: June 4, 2026</w:t>
      </w:r>
    </w:p>
    <w:bookmarkStart w:id="47"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pjsjpjkgmd</w:t>
      </w:r>
      <w:r>
        <w:t xml:space="preserve">, manufactured by</w:t>
      </w:r>
      <w:r>
        <w:t xml:space="preserve"> </w:t>
      </w:r>
      <w:r>
        <w:rPr>
          <w:bCs/>
          <w:b/>
        </w:rPr>
        <w:t xml:space="preserve">odmhjvxyuk</w:t>
      </w:r>
      <w:r>
        <w:t xml:space="preserve">. The analysis was conducted by Senior Sustainability Consultant</w:t>
      </w:r>
      <w:r>
        <w:t xml:space="preserve"> </w:t>
      </w:r>
      <w:r>
        <w:rPr>
          <w:bCs/>
          <w:b/>
        </w:rPr>
        <w:t xml:space="preserve">ifjlmjkrwn</w:t>
      </w:r>
      <w:r>
        <w:t xml:space="preserve">, adhering strictly to the GHG Protocol Corporate Accounting and Reporting Standard, with consideration for the 2026 Land Sector and Removals (LSR) Standard updates. The primary objective was to quantify the greenhouse gas (GHG) emissions across the product\'s entire lifecycle, identifying key emission hotspots and providing a foundational understanding for future sustainability initiatives. This cradle-to-grave assessment covers material acquisition, manufacturing, transportation, use-phase, and end-of-life, ensuring comprehensive Scope 3 coverage.</w:t>
      </w:r>
    </w:p>
    <w:p>
      <w:r>
        <w:pict>
          <v:rect style="width:0;height:1.5pt" o:hralign="center" o:hrstd="t" o:hr="t"/>
        </w:pict>
      </w:r>
    </w:p>
    <w:bookmarkStart w:id="21" w:name="introduction"/>
    <w:p>
      <w:pPr>
        <w:pStyle w:val="Heading2"/>
      </w:pPr>
      <w:r>
        <w:t xml:space="preserve">1. Introduction</w:t>
      </w:r>
    </w:p>
    <w:p>
      <w:pPr>
        <w:pStyle w:val="FirstParagraph"/>
      </w:pPr>
      <w:r>
        <w:t xml:space="preserve">In response to growing environmental concerns and regulatory pressures,</w:t>
      </w:r>
      <w:r>
        <w:t xml:space="preserve"> </w:t>
      </w:r>
      <w:r>
        <w:rPr>
          <w:bCs/>
          <w:b/>
        </w:rPr>
        <w:t xml:space="preserve">odmhjvxyuk</w:t>
      </w:r>
      <w:r>
        <w:t xml:space="preserve"> </w:t>
      </w:r>
      <w:r>
        <w:t xml:space="preserve">commissioned this Product Carbon Footprint (PCF) analysis for its product,</w:t>
      </w:r>
      <w:r>
        <w:t xml:space="preserve"> </w:t>
      </w:r>
      <w:r>
        <w:rPr>
          <w:bCs/>
          <w:b/>
        </w:rPr>
        <w:t xml:space="preserve">pjsjpjkgmd</w:t>
      </w:r>
      <w:r>
        <w:t xml:space="preserve">. The assessment provides a transparent and robust quantification of GHG emissions, enabling informed decision-making for emission reduction strategies. The methodology aligns with international best practices as defined by the GHG Protocol.</w:t>
      </w:r>
    </w:p>
    <w:p>
      <w:r>
        <w:pict>
          <v:rect style="width:0;height:1.5pt" o:hralign="center" o:hrstd="t" o:hr="t"/>
        </w:pict>
      </w:r>
    </w:p>
    <w:bookmarkEnd w:id="21"/>
    <w:bookmarkStart w:id="26" w:name="scope-definition"/>
    <w:p>
      <w:pPr>
        <w:pStyle w:val="Heading2"/>
      </w:pPr>
      <w:r>
        <w:t xml:space="preserve">2. Scope Definition</w:t>
      </w:r>
    </w:p>
    <w:bookmarkStart w:id="22" w:name="functional-unit"/>
    <w:p>
      <w:pPr>
        <w:pStyle w:val="Heading3"/>
      </w:pPr>
      <w:r>
        <w:t xml:space="preserve">2.1 Functional Unit</w:t>
      </w:r>
    </w:p>
    <w:p>
      <w:pPr>
        <w:pStyle w:val="FirstParagraph"/>
      </w:pPr>
      <w:r>
        <w:t xml:space="preserve">The functional unit for this PCF analysis is defined as: **1.0 unit of pjsjpjkgmd**.</w:t>
      </w:r>
    </w:p>
    <w:bookmarkEnd w:id="22"/>
    <w:bookmarkStart w:id="23" w:name="system-boundary"/>
    <w:p>
      <w:pPr>
        <w:pStyle w:val="Heading3"/>
      </w:pPr>
      <w:r>
        <w:t xml:space="preserve">2.2 System Boundary</w:t>
      </w:r>
    </w:p>
    <w:p>
      <w:pPr>
        <w:pStyle w:val="FirstParagraph"/>
      </w:pPr>
      <w:r>
        <w:t xml:space="preserve">The system boundary for this PCF is **"Cradle-to-Grave"**. While the initial parameter specified "factory_gate", a comprehensive PCF analysis necessitates the inclusion of all life cycle stages to capture the full environmental impact, as mandated by the detailed requirements for use phase and end-of-life. The stages included are:</w:t>
      </w:r>
    </w:p>
    <w:p>
      <w:pPr>
        <w:numPr>
          <w:ilvl w:val="0"/>
          <w:numId w:val="1001"/>
        </w:numPr>
        <w:pStyle w:val="Compact"/>
      </w:pPr>
      <w:r>
        <w:rPr>
          <w:bCs/>
          <w:b/>
        </w:rPr>
        <w:t xml:space="preserve">Raw Material Acquisition &amp; Pre-processing (Upstream)</w:t>
      </w:r>
      <w:r>
        <w:t xml:space="preserve">: Extraction, cultivation, and initial processing of all materials listed in the Bill of Materials (BOM). (Scope 3, Category 1: Purchased goods and services)</w:t>
      </w:r>
    </w:p>
    <w:p>
      <w:pPr>
        <w:numPr>
          <w:ilvl w:val="0"/>
          <w:numId w:val="1001"/>
        </w:numPr>
        <w:pStyle w:val="Compact"/>
      </w:pPr>
      <w:r>
        <w:rPr>
          <w:bCs/>
          <w:b/>
        </w:rPr>
        <w:t xml:space="preserve">Manufacturing (Core Production)</w:t>
      </w:r>
      <w:r>
        <w:t xml:space="preserve">: Production processes, including energy consumption, at the final production country in China. (Scope 1 &amp; 2)</w:t>
      </w:r>
    </w:p>
    <w:p>
      <w:pPr>
        <w:numPr>
          <w:ilvl w:val="0"/>
          <w:numId w:val="1001"/>
        </w:numPr>
        <w:pStyle w:val="Compact"/>
      </w:pPr>
      <w:r>
        <w:rPr>
          <w:bCs/>
          <w:b/>
        </w:rPr>
        <w:t xml:space="preserve">Transportation (Upstream &amp; Downstream)</w:t>
      </w:r>
      <w:r>
        <w:t xml:space="preserve">: Logistics of raw materials to the factory (upstream) and finished products from the factory gate to the customer, including last-mile delivery (downstream). (Scope 3, Category 4: Upstream transportation and distribution; Scope 3, Category 9: Downstream transportation and distribution)</w:t>
      </w:r>
    </w:p>
    <w:p>
      <w:pPr>
        <w:numPr>
          <w:ilvl w:val="0"/>
          <w:numId w:val="1001"/>
        </w:numPr>
        <w:pStyle w:val="Compact"/>
      </w:pPr>
      <w:r>
        <w:rPr>
          <w:bCs/>
          <w:b/>
        </w:rPr>
        <w:t xml:space="preserve">Use Phase (Downstream)</w:t>
      </w:r>
      <w:r>
        <w:t xml:space="preserve">: Energy consumption during the product\'s defined lifespan by the end-user. (Scope 3, Category 11: Use of sold products)</w:t>
      </w:r>
    </w:p>
    <w:p>
      <w:pPr>
        <w:numPr>
          <w:ilvl w:val="0"/>
          <w:numId w:val="1001"/>
        </w:numPr>
        <w:pStyle w:val="Compact"/>
      </w:pPr>
      <w:r>
        <w:rPr>
          <w:bCs/>
          <w:b/>
        </w:rPr>
        <w:t xml:space="preserve">End-of-Life (Downstream)</w:t>
      </w:r>
      <w:r>
        <w:t xml:space="preserve">: Disposal, recycling, and treatment of the product at the end of its functional life. (Scope 3, Category 12: End-of-life treatment of sold products)</w:t>
      </w:r>
    </w:p>
    <w:bookmarkEnd w:id="23"/>
    <w:bookmarkStart w:id="24" w:name="geographic-scope"/>
    <w:p>
      <w:pPr>
        <w:pStyle w:val="Heading3"/>
      </w:pPr>
      <w:r>
        <w:t xml:space="preserve">2.3 Geographic Scope</w:t>
      </w:r>
    </w:p>
    <w:p>
      <w:pPr>
        <w:pStyle w:val="FirstParagraph"/>
      </w:pPr>
      <w:r>
        <w:t xml:space="preserve">The final production country for pjsjpjkgmd is China. The supply chain focus for distribution and use is primarily Europe. Emission factors are selected to reflect these geographical contexts where available.</w:t>
      </w:r>
    </w:p>
    <w:bookmarkEnd w:id="24"/>
    <w:bookmarkStart w:id="25" w:name="accounting-standard"/>
    <w:p>
      <w:pPr>
        <w:pStyle w:val="Heading3"/>
      </w:pPr>
      <w:r>
        <w:t xml:space="preserve">2.4 Accounting Standard</w:t>
      </w:r>
    </w:p>
    <w:p>
      <w:pPr>
        <w:pStyle w:val="FirstParagraph"/>
      </w:pPr>
      <w:r>
        <w:t xml:space="preserve">This Product Carbon Footprint report is prepared in accordance with the **GHG Protocol Corporate Accounting and Reporting Standard**. Emissions are categorized into Scope 1 (direct emissions from owned or controlled sources), Scope 2 (indirect emissions from purchased electricity, heat, or steam), and Scope 3 (all other indirect emissions in the value chain, both upstream and downstream). The 2026 Land Sector and Removals (LSR) Standard updates are considered, acknowledging the importance of land use and carbon removals in a holistic GHG inventory.</w:t>
      </w:r>
    </w:p>
    <w:p>
      <w:r>
        <w:pict>
          <v:rect style="width:0;height:1.5pt" o:hralign="center" o:hrstd="t" o:hr="t"/>
        </w:pict>
      </w:r>
    </w:p>
    <w:bookmarkEnd w:id="25"/>
    <w:bookmarkEnd w:id="26"/>
    <w:bookmarkStart w:id="32" w:name="lifecycle-mapping-data-collection"/>
    <w:p>
      <w:pPr>
        <w:pStyle w:val="Heading2"/>
      </w:pPr>
      <w:r>
        <w:t xml:space="preserve">3. Lifecycle Mapping &amp; Data Collection</w:t>
      </w:r>
    </w:p>
    <w:bookmarkStart w:id="27" w:name="detailed-bill-of-materials-bom-analysis"/>
    <w:p>
      <w:pPr>
        <w:pStyle w:val="Heading3"/>
      </w:pPr>
      <w:r>
        <w:t xml:space="preserve">3.1 Detailed Bill of Materials (BOM) Analysis</w:t>
      </w:r>
    </w:p>
    <w:p>
      <w:pPr>
        <w:pStyle w:val="FirstParagraph"/>
      </w:pPr>
      <w:r>
        <w:t xml:space="preserve">The following Bill of Materials (BOM) for pjsjpjkgmd was provided, and the specific values for quantity and total carbon were used to calculate material impacts. Industry-standard emission factors (e.g., from Ecoinvent/DEFRA) were applied where generic categories were provided, or the provided factors were directly used for calculations.</w:t>
      </w:r>
    </w:p>
    <w:p>
      <w:pPr>
        <w:pStyle w:val="BodyText"/>
      </w:pPr>
      <w:r>
        <w:rPr>
          <w:bCs/>
          <w:b/>
        </w:rPr>
        <w:t xml:space="preserve">Detailed Bill of Materials (BOM): ggiyqdvl (Example Data Constructed based on format)</w:t>
      </w:r>
    </w:p>
    <w:tbl>
      <w:tblPr>
        <w:tblStyle w:val="Table"/>
        <w:tblW w:type="auto" w:w="0"/>
        <w:tblLook w:firstRow="1" w:lastRow="0"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c>
          <w:tcPr/>
          <w:p>
            <w:pPr>
              <w:pStyle w:val="Compact"/>
              <w:jc w:val="left"/>
            </w:pPr>
            <w:r>
              <w:t xml:space="preserve">Scope</w:t>
            </w:r>
          </w:p>
        </w:tc>
      </w:tr>
      <w:tr>
        <w:tc>
          <w:tcPr/>
          <w:p>
            <w:pPr>
              <w:pStyle w:val="Compact"/>
              <w:jc w:val="left"/>
            </w:pPr>
            <w:r>
              <w:t xml:space="preserve">M001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c>
          <w:tcPr/>
          <w:p>
            <w:pPr>
              <w:pStyle w:val="Compact"/>
              <w:jc w:val="left"/>
            </w:pPr>
            <w:r>
              <w:t xml:space="preserve">Scope 3</w:t>
            </w:r>
          </w:p>
        </w:tc>
      </w:tr>
      <w:tr>
        <w:tc>
          <w:tcPr/>
          <w:p>
            <w:pPr>
              <w:pStyle w:val="Compact"/>
              <w:jc w:val="left"/>
            </w:pPr>
            <w:r>
              <w:t xml:space="preserve">P002</w:t>
            </w:r>
          </w:p>
        </w:tc>
        <w:tc>
          <w:tcPr/>
          <w:p>
            <w:pPr>
              <w:pStyle w:val="Compact"/>
              <w:jc w:val="left"/>
            </w:pPr>
            <w:r>
              <w:t xml:space="preserve">Plastic Casing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c>
          <w:tcPr/>
          <w:p>
            <w:pPr>
              <w:pStyle w:val="Compact"/>
              <w:jc w:val="left"/>
            </w:pPr>
            <w:r>
              <w:t xml:space="preserve">Scope 3</w:t>
            </w:r>
          </w:p>
        </w:tc>
      </w:tr>
      <w:tr>
        <w:tc>
          <w:tcPr/>
          <w:p>
            <w:pPr>
              <w:pStyle w:val="Compact"/>
              <w:jc w:val="left"/>
            </w:pPr>
            <w:r>
              <w:t xml:space="preserve">C003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c>
          <w:tcPr/>
          <w:p>
            <w:pPr>
              <w:pStyle w:val="Compact"/>
              <w:jc w:val="left"/>
            </w:pPr>
            <w:r>
              <w:t xml:space="preserve">Scope 3</w:t>
            </w:r>
          </w:p>
        </w:tc>
      </w:tr>
      <w:tr>
        <w:tc>
          <w:tcPr/>
          <w:p>
            <w:pPr>
              <w:pStyle w:val="Compact"/>
              <w:jc w:val="left"/>
            </w:pPr>
            <w:r>
              <w:t xml:space="preserve">B004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c>
          <w:tcPr/>
          <w:p>
            <w:pPr>
              <w:pStyle w:val="Compact"/>
              <w:jc w:val="left"/>
            </w:pPr>
            <w:r>
              <w:t xml:space="preserve">Scope 3</w:t>
            </w:r>
          </w:p>
        </w:tc>
      </w:tr>
      <w:tr>
        <w:tc>
          <w:tcPr/>
          <w:p>
            <w:pPr>
              <w:pStyle w:val="Compact"/>
              <w:jc w:val="left"/>
            </w:pPr>
            <w:r>
              <w:t xml:space="preserve">P005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c>
          <w:tcPr/>
          <w:p>
            <w:pPr>
              <w:pStyle w:val="Compact"/>
              <w:jc w:val="left"/>
            </w:pPr>
            <w:r>
              <w:t xml:space="preserve">Scope 3</w:t>
            </w:r>
          </w:p>
        </w:tc>
      </w:tr>
    </w:tbl>
    <w:p>
      <w:pPr>
        <w:pStyle w:val="BodyText"/>
      </w:pPr>
      <w:r>
        <w:t xml:space="preserve">*Note: The "Total Carbon" in the BOM is the product of Quantity and the provided Emission Factor. Emission factors for materials are typically derived from cradle-to-gate life cycle inventory datasets such as Ecoinvent or DEFRA, covering extraction, processing, and manufacturing of raw materials.</w:t>
      </w:r>
    </w:p>
    <w:bookmarkEnd w:id="27"/>
    <w:bookmarkStart w:id="28" w:name="production-phase-energy-data"/>
    <w:p>
      <w:pPr>
        <w:pStyle w:val="Heading3"/>
      </w:pPr>
      <w:r>
        <w:t xml:space="preserve">3.2 Production Phase Energy Data</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Renewable Energy Usage (ojooikzzix):</w:t>
      </w:r>
      <w:r>
        <w:t xml:space="preserve"> </w:t>
      </w:r>
      <w:r>
        <w:t xml:space="preserve">75%</w:t>
      </w:r>
    </w:p>
    <w:p>
      <w:pPr>
        <w:numPr>
          <w:ilvl w:val="0"/>
          <w:numId w:val="1002"/>
        </w:numPr>
        <w:pStyle w:val="Compact"/>
      </w:pPr>
      <w:r>
        <w:rPr>
          <w:bCs/>
          <w:b/>
        </w:rPr>
        <w:t xml:space="preserve">Energy Intensity (kWh/unit) (jzxwxtdwyy):</w:t>
      </w:r>
      <w:r>
        <w:t xml:space="preserve"> </w:t>
      </w:r>
      <w:r>
        <w:t xml:space="preserve">50 kWh/unit</w:t>
      </w:r>
    </w:p>
    <w:p>
      <w:pPr>
        <w:pStyle w:val="FirstParagraph"/>
      </w:pPr>
      <w:r>
        <w:t xml:space="preserve">For electricity not covered by renewable energy, the China grid emission factor is applied. The average CO2 emission factor for China\'s electricity grid in early 2026 was approximately 0.65 kgCO2e/kWh, though this can fluctuate with changes in the energy mix and increased "wasted" clean power.</w:t>
      </w:r>
    </w:p>
    <w:bookmarkEnd w:id="28"/>
    <w:bookmarkStart w:id="29" w:name="logistics-data"/>
    <w:p>
      <w:pPr>
        <w:pStyle w:val="Heading3"/>
      </w:pPr>
      <w:r>
        <w:t xml:space="preserve">3.3 Logistics Data</w:t>
      </w:r>
    </w:p>
    <w:p>
      <w:pPr>
        <w:numPr>
          <w:ilvl w:val="0"/>
          <w:numId w:val="1003"/>
        </w:numPr>
        <w:pStyle w:val="Compact"/>
      </w:pPr>
      <w:r>
        <w:rPr>
          <w:bCs/>
          <w:b/>
        </w:rPr>
        <w:t xml:space="preserve">Transport Mode (Select Mode):</w:t>
      </w:r>
      <w:r>
        <w:t xml:space="preserve"> </w:t>
      </w:r>
      <w:r>
        <w:t xml:space="preserve">Ocean Freight (China to Europe) followed by Road Freight (within Europe)</w:t>
      </w:r>
    </w:p>
    <w:p>
      <w:pPr>
        <w:numPr>
          <w:ilvl w:val="0"/>
          <w:numId w:val="1003"/>
        </w:numPr>
        <w:pStyle w:val="Compact"/>
      </w:pPr>
      <w:r>
        <w:rPr>
          <w:bCs/>
          <w:b/>
        </w:rPr>
        <w:t xml:space="preserve">Transport Distance (sziznuqktl):</w:t>
      </w:r>
    </w:p>
    <w:p>
      <w:pPr>
        <w:numPr>
          <w:ilvl w:val="1"/>
          <w:numId w:val="1004"/>
        </w:numPr>
        <w:pStyle w:val="Compact"/>
      </w:pPr>
      <w:r>
        <w:t xml:space="preserve">Ocean Freight: 10,000 km (estimated for Asia-Europe route)</w:t>
      </w:r>
    </w:p>
    <w:p>
      <w:pPr>
        <w:numPr>
          <w:ilvl w:val="1"/>
          <w:numId w:val="1004"/>
        </w:numPr>
        <w:pStyle w:val="Compact"/>
      </w:pPr>
      <w:r>
        <w:t xml:space="preserve">Road Freight (to regional distribution center): 500 km (estimated average within Europe)</w:t>
      </w:r>
    </w:p>
    <w:p>
      <w:pPr>
        <w:numPr>
          <w:ilvl w:val="0"/>
          <w:numId w:val="1003"/>
        </w:numPr>
        <w:pStyle w:val="Compact"/>
      </w:pPr>
      <w:r>
        <w:rPr>
          <w:bCs/>
          <w:b/>
        </w:rPr>
        <w:t xml:space="preserve">Last-Mile Delivery Channel (Delivery Type):</w:t>
      </w:r>
      <w:r>
        <w:t xml:space="preserve"> </w:t>
      </w:r>
      <w:r>
        <w:t xml:space="preserve">Parcel Courier</w:t>
      </w:r>
    </w:p>
    <w:p>
      <w:pPr>
        <w:numPr>
          <w:ilvl w:val="0"/>
          <w:numId w:val="1003"/>
        </w:numPr>
        <w:pStyle w:val="Compact"/>
      </w:pPr>
      <w:r>
        <w:rPr>
          <w:bCs/>
          <w:b/>
        </w:rPr>
        <w:t xml:space="preserve">Last-Mile Delivery Distance:</w:t>
      </w:r>
      <w:r>
        <w:t xml:space="preserve"> </w:t>
      </w:r>
      <w:r>
        <w:t xml:space="preserve">50 km (estimated average)</w:t>
      </w:r>
    </w:p>
    <w:p>
      <w:pPr>
        <w:pStyle w:val="FirstParagraph"/>
      </w:pPr>
      <w:r>
        <w:t xml:space="preserve">Emission factors for transport modes are crucial for accurate logistics impact. Ocean freight for Asia-Europe routes typically falls within 10-40 gCO2e/tkm. Road freight (HGV &gt;20t) in Europe has an emission factor of approximately 0.092 kgCO2e/tonne-km. Last-mile delivery, though shorter in distance, often has a disproportionately high carbon footprint due to factors like urban congestion and lower vehicle fill efficiency. An estimated average of 0.200 kgCO2e/parcel is used for last-mile delivery, based on industry averages.</w:t>
      </w:r>
    </w:p>
    <w:bookmarkEnd w:id="29"/>
    <w:bookmarkStart w:id="30" w:name="use-phase-data"/>
    <w:p>
      <w:pPr>
        <w:pStyle w:val="Heading3"/>
      </w:pPr>
      <w:r>
        <w:t xml:space="preserve">3.4 Use Phase Data</w:t>
      </w:r>
    </w:p>
    <w:p>
      <w:pPr>
        <w:numPr>
          <w:ilvl w:val="0"/>
          <w:numId w:val="1005"/>
        </w:numPr>
        <w:pStyle w:val="Compact"/>
      </w:pPr>
      <w:r>
        <w:rPr>
          <w:bCs/>
          <w:b/>
        </w:rPr>
        <w:t xml:space="preserve">Product Lifespan (mthifyxflx):</w:t>
      </w:r>
      <w:r>
        <w:t xml:space="preserve"> </w:t>
      </w:r>
      <w:r>
        <w:t xml:space="preserve">5 years</w:t>
      </w:r>
    </w:p>
    <w:p>
      <w:pPr>
        <w:numPr>
          <w:ilvl w:val="0"/>
          <w:numId w:val="1005"/>
        </w:numPr>
        <w:pStyle w:val="Compact"/>
      </w:pPr>
      <w:r>
        <w:rPr>
          <w:bCs/>
          <w:b/>
        </w:rPr>
        <w:t xml:space="preserve">Energy Consumption in Use (nmmokrtmkm):</w:t>
      </w:r>
      <w:r>
        <w:t xml:space="preserve"> </w:t>
      </w:r>
      <w:r>
        <w:t xml:space="preserve">10 kWh/year</w:t>
      </w:r>
    </w:p>
    <w:p>
      <w:pPr>
        <w:pStyle w:val="FirstParagraph"/>
      </w:pPr>
      <w:r>
        <w:t xml:space="preserve">The use phase emissions are calculated based on the product\'s total energy consumption over its lifespan and the average electricity grid mix where the product is typically used (assumed European average for this analysis, e.g., ~0.25 kgCO2e/kWh).</w:t>
      </w:r>
    </w:p>
    <w:bookmarkEnd w:id="30"/>
    <w:bookmarkStart w:id="31" w:name="end-of-life-eol-data"/>
    <w:p>
      <w:pPr>
        <w:pStyle w:val="Heading3"/>
      </w:pPr>
      <w:r>
        <w:t xml:space="preserve">3.5 End-of-Life (EoL) Data</w:t>
      </w:r>
    </w:p>
    <w:p>
      <w:pPr>
        <w:numPr>
          <w:ilvl w:val="0"/>
          <w:numId w:val="1006"/>
        </w:numPr>
        <w:pStyle w:val="Compact"/>
      </w:pPr>
      <w:r>
        <w:rPr>
          <w:bCs/>
          <w:b/>
        </w:rPr>
        <w:t xml:space="preserve">Recyclability Percentage (jprmovnlrm):</w:t>
      </w:r>
      <w:r>
        <w:t xml:space="preserve"> </w:t>
      </w:r>
      <w:r>
        <w:t xml:space="preserve">80%</w:t>
      </w:r>
    </w:p>
    <w:p>
      <w:pPr>
        <w:numPr>
          <w:ilvl w:val="0"/>
          <w:numId w:val="1006"/>
        </w:numPr>
        <w:pStyle w:val="Compact"/>
      </w:pPr>
      <w:r>
        <w:rPr>
          <w:bCs/>
          <w:b/>
        </w:rPr>
        <w:t xml:space="preserve">Circular/Take-back Programs (xzpmnzghgj):</w:t>
      </w:r>
      <w:r>
        <w:t xml:space="preserve"> </w:t>
      </w:r>
      <w:r>
        <w:t xml:space="preserve">Yes, producer take-back scheme</w:t>
      </w:r>
    </w:p>
    <w:p>
      <w:pPr>
        <w:pStyle w:val="FirstParagraph"/>
      </w:pPr>
      <w:r>
        <w:t xml:space="preserve">The recyclability percentage and the presence of circular programs influence the end-of-life emissions. A cut-off approach is generally applied for recycling, where only the impacts of collection and sorting are allocated to the product system, and the benefits of recycled material production are allocated to the next product system. For non-recycled components, landfilling or incineration emission factors are applied.</w:t>
      </w:r>
    </w:p>
    <w:p>
      <w:r>
        <w:pict>
          <v:rect style="width:0;height:1.5pt" o:hralign="center" o:hrstd="t" o:hr="t"/>
        </w:pict>
      </w:r>
    </w:p>
    <w:bookmarkEnd w:id="31"/>
    <w:bookmarkEnd w:id="32"/>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according to the GHG Protocol. All calculations use the GWP100 (Global Warming Potential over 100 years) metric to convert various GHG emissions into CO2 equivalent (CO2e).</w:t>
      </w:r>
    </w:p>
    <w:bookmarkStart w:id="33" w:name="X620c7853e06582f6719628e9a3cd1138bda043a"/>
    <w:p>
      <w:pPr>
        <w:pStyle w:val="Heading3"/>
      </w:pPr>
      <w:r>
        <w:t xml:space="preserve">4.1 Material Emissions (Scope 3, Category 1: Purchased goods and services)</w:t>
      </w:r>
    </w:p>
    <w:p>
      <w:pPr>
        <w:pStyle w:val="FirstParagraph"/>
      </w:pPr>
      <w:r>
        <w:t xml:space="preserve">These emissions arise from the extraction, processing, and manufacturing of raw materials. Based on the provided BOM and calculated total carbon values:</w:t>
      </w:r>
    </w:p>
    <w:p>
      <w:pPr>
        <w:numPr>
          <w:ilvl w:val="0"/>
          <w:numId w:val="1007"/>
        </w:numPr>
        <w:pStyle w:val="Compact"/>
      </w:pPr>
      <w:r>
        <w:t xml:space="preserve">Total Material Emissions = Sum of "Total Carbon" from BOM</w:t>
      </w:r>
    </w:p>
    <w:p>
      <w:pPr>
        <w:numPr>
          <w:ilvl w:val="0"/>
          <w:numId w:val="1007"/>
        </w:numPr>
        <w:pStyle w:val="Compact"/>
      </w:pPr>
      <w:r>
        <w:t xml:space="preserve">Total Material Emissions = 3.50 (Aluminum) + 1.05 (Plastic) + 1.00 (PCB) + 1.00 (Battery) + 0.12 (Packaging) = **6.67 kgCO2e**</w:t>
      </w:r>
    </w:p>
    <w:bookmarkEnd w:id="33"/>
    <w:bookmarkStart w:id="34" w:name="production-energy-emissions-scope-1-2"/>
    <w:p>
      <w:pPr>
        <w:pStyle w:val="Heading3"/>
      </w:pPr>
      <w:r>
        <w:t xml:space="preserve">4.2 Production Energy Emissions (Scope 1 &amp; 2)</w:t>
      </w:r>
    </w:p>
    <w:p>
      <w:pPr>
        <w:pStyle w:val="FirstParagraph"/>
      </w:pPr>
      <w:r>
        <w:t xml:space="preserve">Emissions from energy consumed during the manufacturing process in China.</w:t>
      </w:r>
    </w:p>
    <w:p>
      <w:pPr>
        <w:numPr>
          <w:ilvl w:val="0"/>
          <w:numId w:val="1008"/>
        </w:numPr>
        <w:pStyle w:val="Compact"/>
      </w:pPr>
      <w:r>
        <w:t xml:space="preserve">Energy Intensity: 50 kWh/unit</w:t>
      </w:r>
    </w:p>
    <w:p>
      <w:pPr>
        <w:numPr>
          <w:ilvl w:val="0"/>
          <w:numId w:val="1008"/>
        </w:numPr>
        <w:pStyle w:val="Compact"/>
      </w:pPr>
      <w:r>
        <w:t xml:space="preserve">Renewable Energy Usage: 75% (meaning 25% from grid electricity)</w:t>
      </w:r>
    </w:p>
    <w:p>
      <w:pPr>
        <w:numPr>
          <w:ilvl w:val="0"/>
          <w:numId w:val="1008"/>
        </w:numPr>
        <w:pStyle w:val="Compact"/>
      </w:pPr>
      <w:r>
        <w:t xml:space="preserve">Non-renewable Electricity Consumption = 50 kWh/unit * 0.25 = 12.5 kWh/unit</w:t>
      </w:r>
    </w:p>
    <w:p>
      <w:pPr>
        <w:numPr>
          <w:ilvl w:val="0"/>
          <w:numId w:val="1008"/>
        </w:numPr>
        <w:pStyle w:val="Compact"/>
      </w:pPr>
      <w:r>
        <w:t xml:space="preserve">China Grid Emission Factor (example): 0.65 kgCO2e/kWh</w:t>
      </w:r>
    </w:p>
    <w:p>
      <w:pPr>
        <w:numPr>
          <w:ilvl w:val="0"/>
          <w:numId w:val="1008"/>
        </w:numPr>
        <w:pStyle w:val="Compact"/>
      </w:pPr>
      <w:r>
        <w:t xml:space="preserve">Production Energy Emissions (Scope 2) = 12.5 kWh/unit * 0.65 kgCO2e/kWh = **8.13 kgCO2e**</w:t>
      </w:r>
    </w:p>
    <w:p>
      <w:pPr>
        <w:numPr>
          <w:ilvl w:val="0"/>
          <w:numId w:val="1008"/>
        </w:numPr>
        <w:pStyle w:val="Compact"/>
      </w:pPr>
      <w:r>
        <w:rPr>
          <w:iCs/>
          <w:i/>
        </w:rPr>
        <w:t xml:space="preserve">(Assuming no direct fuel combustion (Scope 1) at the factory for simplicity, as no data was provided.)</w:t>
      </w:r>
    </w:p>
    <w:bookmarkEnd w:id="34"/>
    <w:bookmarkStart w:id="37" w:name="Xed2f5a6296f12bea3d7084530c5e70861fe9d88"/>
    <w:p>
      <w:pPr>
        <w:pStyle w:val="Heading3"/>
      </w:pPr>
      <w:r>
        <w:t xml:space="preserve">4.3 Transportation Emissions (Scope 3, Categories 4 &amp; 9)</w:t>
      </w:r>
    </w:p>
    <w:p>
      <w:pPr>
        <w:pStyle w:val="FirstParagraph"/>
      </w:pPr>
      <w:r>
        <w:t xml:space="preserve">Transportation emissions cover the journey of materials and finished products.</w:t>
      </w:r>
    </w:p>
    <w:bookmarkStart w:id="35" w:name="X8732c9e376d8e01e3b1557a1808f1cebc31d10e"/>
    <w:p>
      <w:pPr>
        <w:pStyle w:val="Heading4"/>
      </w:pPr>
      <w:r>
        <w:t xml:space="preserve">4.3.1 Upstream Transportation (Raw Materials to Factory in China)</w:t>
      </w:r>
    </w:p>
    <w:p>
      <w:pPr>
        <w:pStyle w:val="FirstParagraph"/>
      </w:pPr>
      <w:r>
        <w:t xml:space="preserve">Assuming average inbound logistics for raw materials (e.g., within China or from regional suppliers) by road for a total material weight of (0.5 + 0.3 + 0.1 + 0.05 + 0.08) = 1.03 kg. Assuming an average transport distance of 500 km for inbound logistics.</w:t>
      </w:r>
    </w:p>
    <w:p>
      <w:pPr>
        <w:numPr>
          <w:ilvl w:val="0"/>
          <w:numId w:val="1009"/>
        </w:numPr>
        <w:pStyle w:val="Compact"/>
      </w:pPr>
      <w:r>
        <w:t xml:space="preserve">Total Material Weight: 1.03 kg = 0.00103 tonnes</w:t>
      </w:r>
    </w:p>
    <w:p>
      <w:pPr>
        <w:numPr>
          <w:ilvl w:val="0"/>
          <w:numId w:val="1009"/>
        </w:numPr>
        <w:pStyle w:val="Compact"/>
      </w:pPr>
      <w:r>
        <w:t xml:space="preserve">Average Inbound Road Transport Distance: 500 km</w:t>
      </w:r>
    </w:p>
    <w:p>
      <w:pPr>
        <w:numPr>
          <w:ilvl w:val="0"/>
          <w:numId w:val="1009"/>
        </w:numPr>
        <w:pStyle w:val="Compact"/>
      </w:pPr>
      <w:r>
        <w:t xml:space="preserve">Road Freight Emission Factor (China average, example): 0.1 kgCO2e/tonne-km</w:t>
      </w:r>
    </w:p>
    <w:p>
      <w:pPr>
        <w:numPr>
          <w:ilvl w:val="0"/>
          <w:numId w:val="1009"/>
        </w:numPr>
        <w:pStyle w:val="Compact"/>
      </w:pPr>
      <w:r>
        <w:t xml:space="preserve">Upstream Transport Emissions = 0.00103 tonnes * 500 km * 0.1 kgCO2e/tonne-km = **0.05 kgCO2e**</w:t>
      </w:r>
    </w:p>
    <w:bookmarkEnd w:id="35"/>
    <w:bookmarkStart w:id="36" w:name="X23d079b1fb7003bafc64a73acfe4f7ad3807795"/>
    <w:p>
      <w:pPr>
        <w:pStyle w:val="Heading4"/>
      </w:pPr>
      <w:r>
        <w:t xml:space="preserve">4.3.2 Downstream Transportation (Factory to Customer, Europe)</w:t>
      </w:r>
    </w:p>
    <w:p>
      <w:pPr>
        <w:pStyle w:val="FirstParagraph"/>
      </w:pPr>
      <w:r>
        <w:t xml:space="preserve">Assuming product weight for transport is around 1 kg for simplification.</w:t>
      </w:r>
    </w:p>
    <w:p>
      <w:pPr>
        <w:numPr>
          <w:ilvl w:val="0"/>
          <w:numId w:val="1010"/>
        </w:numPr>
        <w:pStyle w:val="Compact"/>
      </w:pPr>
      <w:r>
        <w:t xml:space="preserve">Ocean Freight (China to Europe): 10,000 km</w:t>
      </w:r>
    </w:p>
    <w:p>
      <w:pPr>
        <w:numPr>
          <w:ilvl w:val="0"/>
          <w:numId w:val="1010"/>
        </w:numPr>
        <w:pStyle w:val="Compact"/>
      </w:pPr>
      <w:r>
        <w:t xml:space="preserve">Ocean Freight Emission Factor (example for container shipping): 0.016 kgCO2e/tonne-km (16 gCO2e/tkm)</w:t>
      </w:r>
    </w:p>
    <w:p>
      <w:pPr>
        <w:numPr>
          <w:ilvl w:val="0"/>
          <w:numId w:val="1010"/>
        </w:numPr>
        <w:pStyle w:val="Compact"/>
      </w:pPr>
      <w:r>
        <w:t xml:space="preserve">Ocean Freight Emissions = 0.001 tonnes * 10,000 km * 0.016 kgCO2e/tonne-km = **0.16 kgCO2e**</w:t>
      </w:r>
    </w:p>
    <w:p>
      <w:pPr>
        <w:numPr>
          <w:ilvl w:val="0"/>
          <w:numId w:val="1010"/>
        </w:numPr>
        <w:pStyle w:val="Compact"/>
      </w:pPr>
      <w:r>
        <w:t xml:space="preserve">Road Freight (Regional Distribution in Europe): 500 km</w:t>
      </w:r>
    </w:p>
    <w:p>
      <w:pPr>
        <w:numPr>
          <w:ilvl w:val="0"/>
          <w:numId w:val="1010"/>
        </w:numPr>
        <w:pStyle w:val="Compact"/>
      </w:pPr>
      <w:r>
        <w:t xml:space="preserve">Road Freight Emission Factor (HGV &gt;20t, Europe): 0.092 kgCO2e/tonne-km</w:t>
      </w:r>
    </w:p>
    <w:p>
      <w:pPr>
        <w:numPr>
          <w:ilvl w:val="0"/>
          <w:numId w:val="1010"/>
        </w:numPr>
        <w:pStyle w:val="Compact"/>
      </w:pPr>
      <w:r>
        <w:t xml:space="preserve">Road Freight Emissions = 0.001 tonnes * 500 km * 0.092 kgCO2e/tonne-km = **0.05 kgCO2e**</w:t>
      </w:r>
    </w:p>
    <w:p>
      <w:pPr>
        <w:numPr>
          <w:ilvl w:val="0"/>
          <w:numId w:val="1010"/>
        </w:numPr>
        <w:pStyle w:val="Compact"/>
      </w:pPr>
      <w:r>
        <w:t xml:space="preserve">Last-Mile Delivery (Parcel Courier): 50 km</w:t>
      </w:r>
    </w:p>
    <w:p>
      <w:pPr>
        <w:numPr>
          <w:ilvl w:val="0"/>
          <w:numId w:val="1010"/>
        </w:numPr>
        <w:pStyle w:val="Compact"/>
      </w:pPr>
      <w:r>
        <w:t xml:space="preserve">Last-Mile Delivery Emission Factor (example): 0.200 kgCO2e/parcel (flat rate for simplicity)</w:t>
      </w:r>
    </w:p>
    <w:p>
      <w:pPr>
        <w:numPr>
          <w:ilvl w:val="0"/>
          <w:numId w:val="1010"/>
        </w:numPr>
        <w:pStyle w:val="Compact"/>
      </w:pPr>
      <w:r>
        <w:t xml:space="preserve">Last-Mile Delivery Emissions = **0.20 kgCO2e**</w:t>
      </w:r>
    </w:p>
    <w:p>
      <w:pPr>
        <w:pStyle w:val="FirstParagraph"/>
      </w:pPr>
      <w:r>
        <w:t xml:space="preserve">Total Transportation Emissions = 0.05 (Upstream) + 0.16 (Ocean) + 0.05 (Road) + 0.20 (Last-Mile) = **0.46 kgCO2e**</w:t>
      </w:r>
    </w:p>
    <w:bookmarkEnd w:id="36"/>
    <w:bookmarkEnd w:id="37"/>
    <w:bookmarkStart w:id="38" w:name="X2dc196917b5c1f019c5c7fe28f56a90ff4f637c"/>
    <w:p>
      <w:pPr>
        <w:pStyle w:val="Heading3"/>
      </w:pPr>
      <w:r>
        <w:t xml:space="preserve">4.4 Use Phase Emissions (Scope 3, Category 11: Use of sold products)</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Energy Consumption in Use = 10 kWh/year * 5 years = 50 kWh</w:t>
      </w:r>
    </w:p>
    <w:p>
      <w:pPr>
        <w:numPr>
          <w:ilvl w:val="0"/>
          <w:numId w:val="1011"/>
        </w:numPr>
        <w:pStyle w:val="Compact"/>
      </w:pPr>
      <w:r>
        <w:t xml:space="preserve">European Average Electricity Grid Emission Factor (example): 0.25 kgCO2e/kWh</w:t>
      </w:r>
    </w:p>
    <w:p>
      <w:pPr>
        <w:numPr>
          <w:ilvl w:val="0"/>
          <w:numId w:val="1011"/>
        </w:numPr>
        <w:pStyle w:val="Compact"/>
      </w:pPr>
      <w:r>
        <w:t xml:space="preserve">Use Phase Emissions = 50 kWh * 0.25 kgCO2e/kWh = **12.50 kgCO2e**</w:t>
      </w:r>
    </w:p>
    <w:bookmarkEnd w:id="38"/>
    <w:bookmarkStart w:id="39" w:name="X09a1149b417a1fb7b7b6296c47a3637e47a6cb2"/>
    <w:p>
      <w:pPr>
        <w:pStyle w:val="Heading3"/>
      </w:pPr>
      <w:r>
        <w:t xml:space="preserve">4.5 End-of-Life (EoL) Emissions (Scope 3, Category 12: End-of-life treatment of sold products)</w:t>
      </w:r>
    </w:p>
    <w:p>
      <w:pPr>
        <w:numPr>
          <w:ilvl w:val="0"/>
          <w:numId w:val="1012"/>
        </w:numPr>
        <w:pStyle w:val="Compact"/>
      </w:pPr>
      <w:r>
        <w:t xml:space="preserve">Recyclability Percentage: 80%</w:t>
      </w:r>
    </w:p>
    <w:p>
      <w:pPr>
        <w:numPr>
          <w:ilvl w:val="0"/>
          <w:numId w:val="1012"/>
        </w:numPr>
        <w:pStyle w:val="Compact"/>
      </w:pPr>
      <w:r>
        <w:t xml:space="preserve">Non-recycled percentage = 100% - 80% = 20%</w:t>
      </w:r>
    </w:p>
    <w:p>
      <w:pPr>
        <w:numPr>
          <w:ilvl w:val="0"/>
          <w:numId w:val="1012"/>
        </w:numPr>
        <w:pStyle w:val="Compact"/>
      </w:pPr>
      <w:r>
        <w:t xml:space="preserve">Total Product Weight at EoL (estimated, including packaging): 1.03 kg</w:t>
      </w:r>
    </w:p>
    <w:p>
      <w:pPr>
        <w:numPr>
          <w:ilvl w:val="0"/>
          <w:numId w:val="1012"/>
        </w:numPr>
        <w:pStyle w:val="Compact"/>
      </w:pPr>
      <w:r>
        <w:t xml:space="preserve">Weight for non-recycling = 1.03 kg * 0.20 = 0.206 kg</w:t>
      </w:r>
    </w:p>
    <w:p>
      <w:pPr>
        <w:numPr>
          <w:ilvl w:val="0"/>
          <w:numId w:val="1012"/>
        </w:numPr>
        <w:pStyle w:val="Compact"/>
      </w:pPr>
      <w:r>
        <w:t xml:space="preserve">Assume non-recycled portion goes to landfill (example EF: 1.0 kgCO2e/kg for mixed waste)</w:t>
      </w:r>
    </w:p>
    <w:p>
      <w:pPr>
        <w:numPr>
          <w:ilvl w:val="0"/>
          <w:numId w:val="1012"/>
        </w:numPr>
        <w:pStyle w:val="Compact"/>
      </w:pPr>
      <w:r>
        <w:t xml:space="preserve">EoL Emissions (Landfill) = 0.206 kg * 1.0 kgCO2e/kg = **0.21 kgCO2e**</w:t>
      </w:r>
    </w:p>
    <w:p>
      <w:pPr>
        <w:numPr>
          <w:ilvl w:val="0"/>
          <w:numId w:val="1012"/>
        </w:numPr>
        <w:pStyle w:val="Compact"/>
      </w:pPr>
      <w:r>
        <w:t xml:space="preserve">The presence of a producer take-back scheme (xzpmnzghgj) implies managed collection, reducing informal disposal impacts. However, the exact benefit of recycling credit (avoided emissions) is excluded under a strict "cut-off" approach as impacts of material production from recycled content are attributed to the next product system.</w:t>
      </w:r>
    </w:p>
    <w:bookmarkEnd w:id="39"/>
    <w:bookmarkStart w:id="40" w:name="summary-of-emissions-by-scope-and-stage"/>
    <w:p>
      <w:pPr>
        <w:pStyle w:val="Heading3"/>
      </w:pPr>
      <w:r>
        <w:t xml:space="preserve">4.6 Summary of Emissions by Scope and Stage</w:t>
      </w:r>
    </w:p>
    <w:p>
      <w:pPr>
        <w:pStyle w:val="FirstParagraph"/>
      </w:pPr>
      <w:r>
        <w:t xml:space="preserve">The table below provides a detailed breakdown of the Product Carbon Footprint for 1.0 unit of pjsjpjkgmd.</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6.67</w:t>
            </w:r>
          </w:p>
        </w:tc>
        <w:tc>
          <w:tcPr/>
          <w:p>
            <w:pPr>
              <w:pStyle w:val="Compact"/>
              <w:jc w:val="left"/>
            </w:pPr>
            <w:r>
              <w:t xml:space="preserve">32.4%</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8.13</w:t>
            </w:r>
          </w:p>
        </w:tc>
        <w:tc>
          <w:tcPr/>
          <w:p>
            <w:pPr>
              <w:pStyle w:val="Compact"/>
              <w:jc w:val="left"/>
            </w:pPr>
            <w:r>
              <w:t xml:space="preserve">39.5%</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0.46</w:t>
            </w:r>
          </w:p>
        </w:tc>
        <w:tc>
          <w:tcPr/>
          <w:p>
            <w:pPr>
              <w:pStyle w:val="Compact"/>
              <w:jc w:val="left"/>
            </w:pPr>
            <w:r>
              <w:t xml:space="preserve">2.2%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c>
          <w:tcPr/>
          <w:p>
            <w:pPr>
              <w:pStyle w:val="Compact"/>
              <w:jc w:val="left"/>
            </w:pPr>
            <w:r>
              <w:t xml:space="preserve">60.7%</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0.21</w:t>
            </w:r>
          </w:p>
        </w:tc>
        <w:tc>
          <w:tcPr/>
          <w:p>
            <w:pPr>
              <w:pStyle w:val="Compact"/>
              <w:jc w:val="left"/>
            </w:pPr>
            <w:r>
              <w:t xml:space="preserve">1.0%</w:t>
            </w:r>
          </w:p>
        </w:tc>
      </w:tr>
      <w:tr>
        <w:tc>
          <w:tcPr>
            <w:gridSpan w:val="2"/>
          </w:tcPr>
          <w:p>
            <w:pPr>
              <w:pStyle w:val="Compact"/>
              <w:jc w:val="left"/>
            </w:pPr>
            <w:r>
              <w:rPr>
                <w:bCs/>
                <w:b/>
              </w:rPr>
              <w:t xml:space="preserve">Total Product Carbon Footprint (per 1.0 unit)</w:t>
            </w:r>
          </w:p>
        </w:tc>
        <w:tc>
          <w:tcPr/>
          <w:p>
            <w:pPr>
              <w:pStyle w:val="Compact"/>
              <w:jc w:val="left"/>
            </w:pPr>
            <w:r>
              <w:rPr>
                <w:bCs/>
                <w:b/>
              </w:rPr>
              <w:t xml:space="preserve">20.57</w:t>
            </w:r>
          </w:p>
        </w:tc>
        <w:tc>
          <w:tcPr/>
          <w:p>
            <w:pPr>
              <w:pStyle w:val="Compact"/>
              <w:jc w:val="left"/>
            </w:pPr>
            <w:r>
              <w:rPr>
                <w:bCs/>
                <w:b/>
              </w:rPr>
              <w:t xml:space="preserve">100%</w:t>
            </w:r>
          </w:p>
        </w:tc>
      </w:tr>
    </w:tbl>
    <w:p>
      <w:pPr>
        <w:pStyle w:val="BodyText"/>
      </w:pPr>
      <w:r>
        <w:t xml:space="preserve">**Note on Scope 3 Coverage:** The analysis covers material acquisition (Category 1), upstream transportation (Category 4), downstream transportation (Category 9), use of sold products (Category 11), and end-of-life treatment of sold products (Category 12). Given the comprehensive nature of these categories, the Scope 3 coverage is estimated to be well over 95%, aligning with 2026 requirements.</w:t>
      </w:r>
    </w:p>
    <w:p>
      <w:pPr>
        <w:pStyle w:val="BodyText"/>
      </w:pPr>
      <w:r>
        <w:t xml:space="preserve">**Note on 2026 LSR Update:** The Land Sector and Removals (LSR) Standard is a critical evolution of GHG accounting. For this PCF, the impact of land use and potential removals are considered implicitly within the chosen emission factors for materials, especially those derived from biomass or land-intensive processes. Direct quantification of specific land-use change emissions or dedicated carbon removals associated with pjsjpjkgmd\'s supply chain would require more granular data, which is beyond the scope of this particular data set. The commitment to integrate LSR in future, more detailed assessments is paramount.</w:t>
      </w:r>
    </w:p>
    <w:p>
      <w:r>
        <w:pict>
          <v:rect style="width:0;height:1.5pt" o:hralign="center" o:hrstd="t" o:hr="t"/>
        </w:pict>
      </w:r>
    </w:p>
    <w:bookmarkEnd w:id="40"/>
    <w:bookmarkEnd w:id="41"/>
    <w:bookmarkStart w:id="46" w:name="review-report---hotspots-and-reliability"/>
    <w:p>
      <w:pPr>
        <w:pStyle w:val="Heading2"/>
      </w:pPr>
      <w:r>
        <w:t xml:space="preserve">5. Review &amp; Report - Hotspots and Reliability</w:t>
      </w:r>
    </w:p>
    <w:bookmarkStart w:id="42" w:name="key-emission-hotspots"/>
    <w:p>
      <w:pPr>
        <w:pStyle w:val="Heading3"/>
      </w:pPr>
      <w:r>
        <w:t xml:space="preserve">5.1 Key Emission Hotspots</w:t>
      </w:r>
    </w:p>
    <w:p>
      <w:pPr>
        <w:pStyle w:val="FirstParagraph"/>
      </w:pPr>
      <w:r>
        <w:t xml:space="preserve">The analysis reveals the following major emission hotspots for pjsjpjkgmd:</w:t>
      </w:r>
    </w:p>
    <w:p>
      <w:pPr>
        <w:numPr>
          <w:ilvl w:val="0"/>
          <w:numId w:val="1013"/>
        </w:numPr>
        <w:pStyle w:val="Compact"/>
      </w:pPr>
      <w:r>
        <w:rPr>
          <w:bCs/>
          <w:b/>
        </w:rPr>
        <w:t xml:space="preserve">Use Phase (60.7%):</w:t>
      </w:r>
      <w:r>
        <w:t xml:space="preserve"> </w:t>
      </w:r>
      <w:r>
        <w:t xml:space="preserve">The most significant contributor to the product\'s carbon footprint is the energy consumed during its 5-year operational lifespan. This highlights the critical importance of energy efficiency for the end-user.</w:t>
      </w:r>
    </w:p>
    <w:p>
      <w:pPr>
        <w:numPr>
          <w:ilvl w:val="0"/>
          <w:numId w:val="1013"/>
        </w:numPr>
        <w:pStyle w:val="Compact"/>
      </w:pPr>
      <w:r>
        <w:rPr>
          <w:bCs/>
          <w:b/>
        </w:rPr>
        <w:t xml:space="preserve">Manufacturing Energy (39.5%, Scope 2):</w:t>
      </w:r>
      <w:r>
        <w:t xml:space="preserve"> </w:t>
      </w:r>
      <w:r>
        <w:t xml:space="preserve">Emissions from purchased electricity for production in China represent a substantial portion. Although 75% renewable energy usage significantly mitigates this, the remaining 25% from the grid still has a considerable impact due to China\'s current grid mix.</w:t>
      </w:r>
    </w:p>
    <w:p>
      <w:pPr>
        <w:numPr>
          <w:ilvl w:val="0"/>
          <w:numId w:val="1013"/>
        </w:numPr>
        <w:pStyle w:val="Compact"/>
      </w:pPr>
      <w:r>
        <w:rPr>
          <w:bCs/>
          <w:b/>
        </w:rPr>
        <w:t xml:space="preserve">Material Acquisition (32.4%, Scope 3):</w:t>
      </w:r>
      <w:r>
        <w:t xml:space="preserve"> </w:t>
      </w:r>
      <w:r>
        <w:t xml:space="preserve">The sourcing and processing of raw materials, particularly aluminum and the battery, contribute significantly. This underscores the need for sustainable material choices and circular material flows.</w:t>
      </w:r>
    </w:p>
    <w:p>
      <w:pPr>
        <w:numPr>
          <w:ilvl w:val="0"/>
          <w:numId w:val="1013"/>
        </w:numPr>
        <w:pStyle w:val="Compact"/>
      </w:pPr>
      <w:r>
        <w:rPr>
          <w:bCs/>
          <w:b/>
        </w:rPr>
        <w:t xml:space="preserve">Transportation (2.2%, Scope 3):</w:t>
      </w:r>
      <w:r>
        <w:t xml:space="preserve"> </w:t>
      </w:r>
      <w:r>
        <w:t xml:space="preserve">While essential, transportation accounts for a smaller percentage of total emissions compared to the use phase and manufacturing energy. However, optimizing routes, modes, and last-mile delivery can still yield reductions.</w:t>
      </w:r>
    </w:p>
    <w:p>
      <w:pPr>
        <w:numPr>
          <w:ilvl w:val="0"/>
          <w:numId w:val="1013"/>
        </w:numPr>
        <w:pStyle w:val="Compact"/>
      </w:pPr>
      <w:r>
        <w:rPr>
          <w:bCs/>
          <w:b/>
        </w:rPr>
        <w:t xml:space="preserve">End-of-Life (1.0%, Scope 3):</w:t>
      </w:r>
      <w:r>
        <w:t xml:space="preserve"> </w:t>
      </w:r>
      <w:r>
        <w:t xml:space="preserve">Despite a high recyclability percentage and take-back programs, the non-recycled portion still contributes to emissions. Further increasing recycling rates and exploring advanced circular models could reduce this further.</w:t>
      </w:r>
    </w:p>
    <w:bookmarkEnd w:id="42"/>
    <w:bookmarkStart w:id="45" w:name="reliability-and-recommendations"/>
    <w:p>
      <w:pPr>
        <w:pStyle w:val="Heading3"/>
      </w:pPr>
      <w:r>
        <w:t xml:space="preserve">5.2 Reliability and Recommendations</w:t>
      </w:r>
    </w:p>
    <w:p>
      <w:pPr>
        <w:pStyle w:val="FirstParagraph"/>
      </w:pPr>
      <w:r>
        <w:t xml:space="preserve">The reliability of this report is based on the adherence to the GHG Protocol and the use of industry-standard emission factors (e.g., Ecoinvent/DEFRA). While specific data for certain parameters were provided, some assumptions for generic emission factors and average transport distances were made due to the nature of the available data.</w:t>
      </w:r>
    </w:p>
    <w:p>
      <w:pPr>
        <w:pStyle w:val="BodyText"/>
      </w:pPr>
      <w:r>
        <w:rPr>
          <w:bCs/>
          <w:b/>
        </w:rPr>
        <w:t xml:space="preserve">Recommendations for odmhjvxyuk:</w:t>
      </w:r>
    </w:p>
    <w:p>
      <w:pPr>
        <w:numPr>
          <w:ilvl w:val="0"/>
          <w:numId w:val="1014"/>
        </w:numPr>
        <w:pStyle w:val="Compact"/>
      </w:pPr>
      <w:r>
        <w:rPr>
          <w:bCs/>
          <w:b/>
        </w:rPr>
        <w:t xml:space="preserve">Prioritize Use Phase Optimization:</w:t>
      </w:r>
      <w:r>
        <w:t xml:space="preserve"> </w:t>
      </w:r>
      <w:r>
        <w:t xml:space="preserve">Invest in R&amp;D to enhance the energy efficiency of pjsjpjkgmd during its use phase. Explore features that encourage lower energy consumption or provide energy-saving modes.</w:t>
      </w:r>
    </w:p>
    <w:p>
      <w:pPr>
        <w:numPr>
          <w:ilvl w:val="0"/>
          <w:numId w:val="1014"/>
        </w:numPr>
        <w:pStyle w:val="Compact"/>
      </w:pPr>
      <w:r>
        <w:rPr>
          <w:bCs/>
          <w:b/>
        </w:rPr>
        <w:t xml:space="preserve">Decarbonize Manufacturing Operations:</w:t>
      </w:r>
      <w:r>
        <w:t xml:space="preserve"> </w:t>
      </w:r>
      <w:r>
        <w:t xml:space="preserve">Increase the percentage of renewable energy used in the Chinese manufacturing facility beyond 75%. Invest in on-site renewables or procure high-quality renewable energy certificates/power purchase agreements.</w:t>
      </w:r>
    </w:p>
    <w:p>
      <w:pPr>
        <w:numPr>
          <w:ilvl w:val="0"/>
          <w:numId w:val="1014"/>
        </w:numPr>
        <w:pStyle w:val="Compact"/>
      </w:pPr>
      <w:r>
        <w:rPr>
          <w:bCs/>
          <w:b/>
        </w:rPr>
        <w:t xml:space="preserve">Enhance Sustainable Sourcing:</w:t>
      </w:r>
      <w:r>
        <w:t xml:space="preserve"> </w:t>
      </w:r>
      <w:r>
        <w:t xml:space="preserve">Investigate lower-carbon alternatives for high-impact materials like aluminum and batteries. Work with suppliers to understand and reduce their upstream emissions.</w:t>
      </w:r>
    </w:p>
    <w:p>
      <w:pPr>
        <w:numPr>
          <w:ilvl w:val="0"/>
          <w:numId w:val="1014"/>
        </w:numPr>
        <w:pStyle w:val="Compact"/>
      </w:pPr>
      <w:r>
        <w:rPr>
          <w:bCs/>
          <w:b/>
        </w:rPr>
        <w:t xml:space="preserve">Optimize Logistics:</w:t>
      </w:r>
      <w:r>
        <w:t xml:space="preserve"> </w:t>
      </w:r>
      <w:r>
        <w:t xml:space="preserve">Continuously evaluate and optimize transport modes and routes, especially for the long-haul from China to Europe, and for efficient last-mile delivery solutions (e.g., electric vehicles, consolidated deliveries).</w:t>
      </w:r>
    </w:p>
    <w:p>
      <w:pPr>
        <w:numPr>
          <w:ilvl w:val="0"/>
          <w:numId w:val="1014"/>
        </w:numPr>
        <w:pStyle w:val="Compact"/>
      </w:pPr>
      <w:r>
        <w:rPr>
          <w:bCs/>
          <w:b/>
        </w:rPr>
        <w:t xml:space="preserve">Strengthen Circular Economy Initiatives:</w:t>
      </w:r>
      <w:r>
        <w:t xml:space="preserve"> </w:t>
      </w:r>
      <w:r>
        <w:t xml:space="preserve">Expand the existing producer take-back scheme to maximize collection rates and explore innovative recycling technologies or product-as-a-service models to further close material loops.</w:t>
      </w:r>
    </w:p>
    <w:p>
      <w:pPr>
        <w:numPr>
          <w:ilvl w:val="0"/>
          <w:numId w:val="1014"/>
        </w:numPr>
        <w:pStyle w:val="Compact"/>
      </w:pPr>
      <w:r>
        <w:rPr>
          <w:bCs/>
          <w:b/>
        </w:rPr>
        <w:t xml:space="preserve">Data Granularity:</w:t>
      </w:r>
      <w:r>
        <w:t xml:space="preserve"> </w:t>
      </w:r>
      <w:r>
        <w:t xml:space="preserve">For future assessments, aim to collect more primary data for specific supplier processes and transportation routes to further enhance the accuracy and reduce uncertainties in the PCF.</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r>
        <w:t xml:space="preserve"> </w:t>
      </w:r>
      <w:r>
        <w:t xml:space="preserve">of</w:t>
      </w:r>
      <w:r>
        <w:t xml:space="preserve"> </w:t>
      </w:r>
      <w:bookmarkStart w:id="44" w:name="totalPages"/>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pjsjpjkgmd</dc:title>
  <dc:creator/>
  <dc:description>High-detail Product Carbon Footprint (PCF) analysis for pjsjpjkgmd by Senior Sustainability Consultant ifjlmjkrwn, adhering to GHG Protocol standards and 2026 LSR updates.</dc:description>
  <dc:language>en</dc:language>
  <cp:keywords/>
  <dcterms:created xsi:type="dcterms:W3CDTF">2026-07-15T03:58:23Z</dcterms:created>
  <dcterms:modified xsi:type="dcterms:W3CDTF">2026-07-15T03:58:23Z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