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piyiiuxsup</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rPr>
          <w:bCs/>
          <w:b/>
        </w:rPr>
        <w:t xml:space="preserve">Product:</w:t>
      </w:r>
      <w:r>
        <w:t xml:space="preserve"> </w:t>
      </w:r>
      <w:r>
        <w:t xml:space="preserve">piyiiuxsup</w:t>
      </w:r>
    </w:p>
    <w:p>
      <w:pPr>
        <w:pStyle w:val="BodyText"/>
      </w:pPr>
      <w:r>
        <w:rPr>
          <w:bCs/>
          <w:b/>
        </w:rPr>
        <w:t xml:space="preserve">Company Name:</w:t>
      </w:r>
      <w:r>
        <w:t xml:space="preserve"> </w:t>
      </w:r>
      <w:r>
        <w:t xml:space="preserve">zlsgvewofk</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ugyxipwhnd</w:t>
      </w:r>
    </w:p>
    <w:p>
      <w:pPr>
        <w:pStyle w:val="BodyText"/>
      </w:pPr>
      <w:r>
        <w:t xml:space="preserve">Disclaimer: This report is generated based on available data and industry standards. While every effort has been made to ensure accuracy, the actual environmental impact may vary depending on real-world conditions and specific primary data not available for this high-level analysis.</w:t>
      </w:r>
    </w:p>
    <w:bookmarkEnd w:id="20"/>
    <w:bookmarkStart w:id="38" w:name="X86eabfc82c14ff05d596397b825047d5023dd47"/>
    <w:p>
      <w:pPr>
        <w:pStyle w:val="Heading1"/>
      </w:pPr>
      <w:r>
        <w:t xml:space="preserve">Product Carbon Footprint Report for piyiiuxsup</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piyiiuxsup</w:t>
      </w:r>
      <w:r>
        <w:t xml:space="preserve">, manufactured by</w:t>
      </w:r>
      <w:r>
        <w:t xml:space="preserve"> </w:t>
      </w:r>
      <w:r>
        <w:rPr>
          <w:bCs/>
          <w:b/>
        </w:rPr>
        <w:t xml:space="preserve">zlsgvewofk</w:t>
      </w:r>
      <w:r>
        <w:t xml:space="preserve">. The analysis was conducted by</w:t>
      </w:r>
      <w:r>
        <w:t xml:space="preserve"> </w:t>
      </w:r>
      <w:r>
        <w:rPr>
          <w:bCs/>
          <w:b/>
        </w:rPr>
        <w:t xml:space="preserve">ugyxipwhnd</w:t>
      </w:r>
      <w:r>
        <w:t xml:space="preserve">, a Senior Sustainability Consultant specializing in GHG Protocol, following a cradle-to-gate system boundary with a focus on upstream and core production activities, extended to include the use phase and end-of-life. Adherence to the GHG Protocol ensures a structured and comprehensive assessment of greenhouse gas emissions across the product\'s lifecycle. Special attention has been given to the anticipated 2026 updates, including the Land Sector and Removals (LSR) Standard and the enhanced Scope 3 compliance requirements. The total illustrative Product Carbon Footprint for one functional unit of piyiiuxsup is estimated at</w:t>
      </w:r>
      <w:r>
        <w:t xml:space="preserve"> </w:t>
      </w:r>
      <w:r>
        <w:rPr>
          <w:bCs/>
          <w:b/>
        </w:rPr>
        <w:t xml:space="preserve">50.41 kg CO2e</w:t>
      </w:r>
      <w:r>
        <w:t xml:space="preserve">. The primary emission hotspots are identified in the use phase and material acquisition.</w:t>
      </w:r>
    </w:p>
    <w:p>
      <w:r>
        <w:pict>
          <v:rect style="width:0;height:1.5pt" o:hralign="center" o:hrstd="t" o:hr="t"/>
        </w:pict>
      </w:r>
    </w:p>
    <w:bookmarkEnd w:id="21"/>
    <w:bookmarkStart w:id="34" w:name="methodology"/>
    <w:p>
      <w:pPr>
        <w:pStyle w:val="Heading2"/>
      </w:pPr>
      <w:r>
        <w:t xml:space="preserve">1. Methodology</w:t>
      </w:r>
    </w:p>
    <w:p>
      <w:pPr>
        <w:pStyle w:val="FirstParagraph"/>
      </w:pPr>
      <w:r>
        <w:t xml:space="preserve">The Product Carbon Footprint (PCF) analysis adheres to the Greenhouse Gas Protocol (GHG Protocol) standards, specifically the Product Standard. The methodology follows a five-step approach: Define Scope, Map Lifecycle, Collect Data, Calculate Emissions, and Review &amp; Report.</w:t>
      </w:r>
    </w:p>
    <w:bookmarkStart w:id="22"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1.0 unit of piyiiuxsup.</w:t>
      </w:r>
    </w:p>
    <w:p>
      <w:pPr>
        <w:numPr>
          <w:ilvl w:val="0"/>
          <w:numId w:val="1001"/>
        </w:numPr>
        <w:pStyle w:val="Compact"/>
      </w:pPr>
      <w:r>
        <w:rPr>
          <w:bCs/>
          <w:b/>
        </w:rPr>
        <w:t xml:space="preserve">System Boundary:</w:t>
      </w:r>
      <w:r>
        <w:t xml:space="preserve"> </w:t>
      </w:r>
      <w:r>
        <w:t xml:space="preserve">factory_gate, extended to include the Use Phase and End-of-Life (cradle-to-grave approach).</w:t>
      </w:r>
    </w:p>
    <w:p>
      <w:pPr>
        <w:numPr>
          <w:ilvl w:val="0"/>
          <w:numId w:val="1001"/>
        </w:numPr>
        <w:pStyle w:val="Compact"/>
      </w:pPr>
      <w:r>
        <w:rPr>
          <w:bCs/>
          <w:b/>
        </w:rPr>
        <w:t xml:space="preserve">Geographic Scope:</w:t>
      </w:r>
      <w:r>
        <w:t xml:space="preserve"> </w:t>
      </w:r>
      <w:r>
        <w:t xml:space="preserve">Final Production Country: China; Supply Chain Focus: Europe Focused.</w:t>
      </w:r>
    </w:p>
    <w:p>
      <w:pPr>
        <w:numPr>
          <w:ilvl w:val="0"/>
          <w:numId w:val="1001"/>
        </w:numPr>
        <w:pStyle w:val="Compact"/>
      </w:pPr>
      <w:r>
        <w:rPr>
          <w:bCs/>
          <w:b/>
        </w:rPr>
        <w:t xml:space="preserve">Allocation:</w:t>
      </w:r>
      <w:r>
        <w:t xml:space="preserve"> </w:t>
      </w:r>
      <w:r>
        <w:t xml:space="preserve">Emissions are allocated directly to the functional unit. Where shared processes or facilities exist, allocation is performed based on mass or economic value, as appropriate to industry best practices.</w:t>
      </w:r>
    </w:p>
    <w:p>
      <w:pPr>
        <w:numPr>
          <w:ilvl w:val="0"/>
          <w:numId w:val="1001"/>
        </w:numPr>
        <w:pStyle w:val="Compact"/>
      </w:pPr>
      <w:r>
        <w:rPr>
          <w:bCs/>
          <w:b/>
        </w:rPr>
        <w:t xml:space="preserve">Accounting Standard:</w:t>
      </w:r>
      <w:r>
        <w:t xml:space="preserve"> </w:t>
      </w:r>
      <w:r>
        <w:t xml:space="preserve">This analysis strictly follows the GHG Protocol, which categorizes emissions into three scopes:</w:t>
      </w:r>
    </w:p>
    <w:p>
      <w:pPr>
        <w:numPr>
          <w:ilvl w:val="1"/>
          <w:numId w:val="1002"/>
        </w:numPr>
        <w:pStyle w:val="Compact"/>
      </w:pPr>
      <w:r>
        <w:rPr>
          <w:bCs/>
          <w:b/>
        </w:rPr>
        <w:t xml:space="preserve">Scope 1:</w:t>
      </w:r>
      <w:r>
        <w:t xml:space="preserve"> </w:t>
      </w:r>
      <w:r>
        <w:t xml:space="preserve">Direct GHG emissions from sources owned or controlled by the reporting entity.</w:t>
      </w:r>
    </w:p>
    <w:p>
      <w:pPr>
        <w:numPr>
          <w:ilvl w:val="1"/>
          <w:numId w:val="1002"/>
        </w:numPr>
        <w:pStyle w:val="Compact"/>
      </w:pPr>
      <w:r>
        <w:rPr>
          <w:bCs/>
          <w:b/>
        </w:rPr>
        <w:t xml:space="preserve">Scope 2:</w:t>
      </w:r>
      <w:r>
        <w:t xml:space="preserve"> </w:t>
      </w:r>
      <w:r>
        <w:t xml:space="preserve">Indirect GHG emissions from the generation of purchased electricity, heat, or steam consumed by the reporting entity.</w:t>
      </w:r>
    </w:p>
    <w:p>
      <w:pPr>
        <w:numPr>
          <w:ilvl w:val="1"/>
          <w:numId w:val="1002"/>
        </w:numPr>
        <w:pStyle w:val="Compact"/>
      </w:pPr>
      <w:r>
        <w:rPr>
          <w:bCs/>
          <w:b/>
        </w:rPr>
        <w:t xml:space="preserve">Scope 3:</w:t>
      </w:r>
      <w:r>
        <w:t xml:space="preserve"> </w:t>
      </w:r>
      <w:r>
        <w:t xml:space="preserve">All other indirect emissions occurring in the value chain of the reporting company, both upstream and downstream, that are not included in Scope 2.</w:t>
      </w:r>
    </w:p>
    <w:p>
      <w:pPr>
        <w:numPr>
          <w:ilvl w:val="0"/>
          <w:numId w:val="1001"/>
        </w:numPr>
        <w:pStyle w:val="Compact"/>
      </w:pPr>
      <w:r>
        <w:rPr>
          <w:bCs/>
          <w:b/>
        </w:rPr>
        <w:t xml:space="preserve">2026 LSR Update:</w:t>
      </w:r>
      <w:r>
        <w:t xml:space="preserve"> </w:t>
      </w:r>
      <w:r>
        <w:t xml:space="preserve">The Land Sector and Removals (LSR) Standard, effective January 1, 2027, has been considered. It provides accounting requirements and guidance for entities with significant land sector activities and those reporting CO2 removals or carbon capture with geologic storage in their GHG inventory. Its applicability for piyiiuxsup would primarily be through upstream raw materials if they are land-based (e.g., bio-based materials, agriculture). The standard also introduces clearer disclosure guidelines for carbon credits and emphasizes permanence and credit type.</w:t>
      </w:r>
    </w:p>
    <w:p>
      <w:pPr>
        <w:numPr>
          <w:ilvl w:val="0"/>
          <w:numId w:val="1001"/>
        </w:numPr>
        <w:pStyle w:val="Compact"/>
      </w:pPr>
      <w:r>
        <w:rPr>
          <w:bCs/>
          <w:b/>
        </w:rPr>
        <w:t xml:space="preserve">Scope 3 Compliance:</w:t>
      </w:r>
      <w:r>
        <w:t xml:space="preserve"> </w:t>
      </w:r>
      <w:r>
        <w:t xml:space="preserve">In line with proposed 2026 requirements, this report aims for at least 95% coverage for Scope 3 reporting. This mandatory completeness rule for required Scope 3 emissions is designed to eliminate selective reporting and necessitates transparent and well-documented justifications for any exclusions within the 5% allowance. Mandatory data disaggregation by source type (primary vs. secondary) is also accounted for in the data collection approach.</w:t>
      </w:r>
    </w:p>
    <w:bookmarkEnd w:id="22"/>
    <w:bookmarkStart w:id="23" w:name="map-lifecycle-lci-inventory-stages"/>
    <w:p>
      <w:pPr>
        <w:pStyle w:val="Heading3"/>
      </w:pPr>
      <w:r>
        <w:t xml:space="preserve">1.2. Map Lifecycle (LCI inventory stages)</w:t>
      </w:r>
    </w:p>
    <w:p>
      <w:pPr>
        <w:pStyle w:val="FirstParagraph"/>
      </w:pPr>
      <w:r>
        <w:t xml:space="preserve">The lifecycle of piyiiuxsup has been mapped across the following stages:</w:t>
      </w:r>
    </w:p>
    <w:p>
      <w:pPr>
        <w:numPr>
          <w:ilvl w:val="0"/>
          <w:numId w:val="1003"/>
        </w:numPr>
        <w:pStyle w:val="Compact"/>
      </w:pPr>
      <w:r>
        <w:rPr>
          <w:bCs/>
          <w:b/>
        </w:rPr>
        <w:t xml:space="preserve">Raw Material Acquisition &amp; Pre-processing:</w:t>
      </w:r>
      <w:r>
        <w:t xml:space="preserve"> </w:t>
      </w:r>
      <w:r>
        <w:t xml:space="preserve">Extraction, processing, and refining of all materials listed in the Bill of Materials (BOM).</w:t>
      </w:r>
    </w:p>
    <w:p>
      <w:pPr>
        <w:numPr>
          <w:ilvl w:val="0"/>
          <w:numId w:val="1003"/>
        </w:numPr>
        <w:pStyle w:val="Compact"/>
      </w:pPr>
      <w:r>
        <w:rPr>
          <w:bCs/>
          <w:b/>
        </w:rPr>
        <w:t xml:space="preserve">Manufacturing (Production):</w:t>
      </w:r>
      <w:r>
        <w:t xml:space="preserve"> </w:t>
      </w:r>
      <w:r>
        <w:t xml:space="preserve">Energy consumption, waste generation, and ancillary processes during the assembly and manufacturing of the product in the final production country (China).</w:t>
      </w:r>
    </w:p>
    <w:p>
      <w:pPr>
        <w:numPr>
          <w:ilvl w:val="0"/>
          <w:numId w:val="1003"/>
        </w:numPr>
        <w:pStyle w:val="Compact"/>
      </w:pPr>
      <w:r>
        <w:rPr>
          <w:bCs/>
          <w:b/>
        </w:rPr>
        <w:t xml:space="preserve">Transport (Logistics):</w:t>
      </w:r>
      <w:r>
        <w:t xml:space="preserve"> </w:t>
      </w:r>
      <w:r>
        <w:t xml:space="preserve">Inbound transportation of raw materials and components from suppliers to the manufacturing facility, and outbound transportation of the finished product to the point of sale, including last-mile delivery.</w:t>
      </w:r>
    </w:p>
    <w:p>
      <w:pPr>
        <w:numPr>
          <w:ilvl w:val="0"/>
          <w:numId w:val="1003"/>
        </w:numPr>
        <w:pStyle w:val="Compact"/>
      </w:pPr>
      <w:r>
        <w:rPr>
          <w:bCs/>
          <w:b/>
        </w:rPr>
        <w:t xml:space="preserve">Use Phase:</w:t>
      </w:r>
      <w:r>
        <w:t xml:space="preserve"> </w:t>
      </w:r>
      <w:r>
        <w:t xml:space="preserve">Energy consumption during the anticipated lifespan of the product by the end-user.</w:t>
      </w:r>
    </w:p>
    <w:p>
      <w:pPr>
        <w:numPr>
          <w:ilvl w:val="0"/>
          <w:numId w:val="1003"/>
        </w:numPr>
        <w:pStyle w:val="Compact"/>
      </w:pPr>
      <w:r>
        <w:rPr>
          <w:bCs/>
          <w:b/>
        </w:rPr>
        <w:t xml:space="preserve">End-of-Life (EoL):</w:t>
      </w:r>
      <w:r>
        <w:t xml:space="preserve"> </w:t>
      </w:r>
      <w:r>
        <w:t xml:space="preserve">Emissions or avoided emissions associated with the disposal, recycling, or recovery of the product and its components.</w:t>
      </w:r>
    </w:p>
    <w:bookmarkEnd w:id="23"/>
    <w:bookmarkStart w:id="29" w:name="Xb57f50a89bf1f3f1837369be949d9d60d6c1272"/>
    <w:p>
      <w:pPr>
        <w:pStyle w:val="Heading3"/>
      </w:pPr>
      <w:r>
        <w:t xml:space="preserve">1.3. Collect Data (Primary/Secondary data points)</w:t>
      </w:r>
    </w:p>
    <w:p>
      <w:pPr>
        <w:pStyle w:val="FirstParagraph"/>
      </w:pPr>
      <w:r>
        <w:t xml:space="preserve">Both primary (specific to zlsgvewofk and piyiiuxsup) and secondary (industry average) data points were collected.</w:t>
      </w:r>
    </w:p>
    <w:bookmarkStart w:id="24" w:name="Xe3a0cef58fed2dbe3d5fdffce2342bc1a558831"/>
    <w:p>
      <w:pPr>
        <w:pStyle w:val="Heading4"/>
      </w:pPr>
      <w:r>
        <w:t xml:space="preserve">Detailed Bill of Materials (BOM) - gopvlkkt</w:t>
      </w:r>
    </w:p>
    <w:p>
      <w:pPr>
        <w:pStyle w:val="FirstParagraph"/>
      </w:pPr>
      <w:r>
        <w:t xml:space="preserve">The following Bill of Materials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Alloy</w:t>
            </w:r>
          </w:p>
        </w:tc>
        <w:tc>
          <w:tcPr/>
          <w:p>
            <w:pPr>
              <w:pStyle w:val="Compact"/>
              <w:jc w:val="left"/>
            </w:pPr>
            <w:r>
              <w:t xml:space="preserve">Metal</w:t>
            </w:r>
          </w:p>
        </w:tc>
        <w:tc>
          <w:tcPr/>
          <w:p>
            <w:pPr>
              <w:pStyle w:val="Compact"/>
              <w:jc w:val="left"/>
            </w:pPr>
            <w:r>
              <w:t xml:space="preserve">Machining</w:t>
            </w:r>
          </w:p>
        </w:tc>
        <w:tc>
          <w:tcPr/>
          <w:p>
            <w:pPr>
              <w:pStyle w:val="Compact"/>
              <w:jc w:val="left"/>
            </w:pPr>
            <w:r>
              <w:t xml:space="preserve">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1.0</w:t>
            </w:r>
          </w:p>
        </w:tc>
      </w:tr>
    </w:tbl>
    <w:bookmarkEnd w:id="24"/>
    <w:bookmarkStart w:id="25" w:name="logistics-data"/>
    <w:p>
      <w:pPr>
        <w:pStyle w:val="Heading4"/>
      </w:pPr>
      <w:r>
        <w:t xml:space="preserve">Logistics Data</w:t>
      </w:r>
    </w:p>
    <w:p>
      <w:pPr>
        <w:numPr>
          <w:ilvl w:val="0"/>
          <w:numId w:val="1004"/>
        </w:numPr>
        <w:pStyle w:val="Compact"/>
      </w:pPr>
      <w:r>
        <w:rPr>
          <w:bCs/>
          <w:b/>
        </w:rPr>
        <w:t xml:space="preserve">Transport Mode (Inbound):</w:t>
      </w:r>
      <w:r>
        <w:t xml:space="preserve"> </w:t>
      </w:r>
      <w:r>
        <w:t xml:space="preserve">Road Freight (Heavy Goods Vehicle)</w:t>
      </w:r>
    </w:p>
    <w:p>
      <w:pPr>
        <w:numPr>
          <w:ilvl w:val="0"/>
          <w:numId w:val="1004"/>
        </w:numPr>
        <w:pStyle w:val="Compact"/>
      </w:pPr>
      <w:r>
        <w:rPr>
          <w:bCs/>
          <w:b/>
        </w:rPr>
        <w:t xml:space="preserve">Transport Distance (Inbound):</w:t>
      </w:r>
      <w:r>
        <w:t xml:space="preserve"> </w:t>
      </w:r>
      <w:r>
        <w:t xml:space="preserve">1200 km</w:t>
      </w:r>
    </w:p>
    <w:p>
      <w:pPr>
        <w:numPr>
          <w:ilvl w:val="0"/>
          <w:numId w:val="1004"/>
        </w:numPr>
        <w:pStyle w:val="Compact"/>
      </w:pPr>
      <w:r>
        <w:rPr>
          <w:bCs/>
          <w:b/>
        </w:rPr>
        <w:t xml:space="preserve">Last-Mile Delivery Channel:</w:t>
      </w:r>
      <w:r>
        <w:t xml:space="preserve"> </w:t>
      </w:r>
      <w:r>
        <w:t xml:space="preserve">Parcel Delivery Service (assumed last-mile distance: 50 km)</w:t>
      </w:r>
    </w:p>
    <w:bookmarkEnd w:id="25"/>
    <w:bookmarkStart w:id="26" w:name="X5077dc433e1da7ac35c89ed02c6fc33082866a4"/>
    <w:p>
      <w:pPr>
        <w:pStyle w:val="Heading4"/>
      </w:pPr>
      <w:r>
        <w:t xml:space="preserve">Energy Customization Data (Production Phase)</w:t>
      </w:r>
    </w:p>
    <w:p>
      <w:pPr>
        <w:numPr>
          <w:ilvl w:val="0"/>
          <w:numId w:val="1005"/>
        </w:numPr>
        <w:pStyle w:val="Compact"/>
      </w:pPr>
      <w:r>
        <w:rPr>
          <w:bCs/>
          <w:b/>
        </w:rPr>
        <w:t xml:space="preserve">Renewable Energy Usage:</w:t>
      </w:r>
      <w:r>
        <w:t xml:space="preserve"> </w:t>
      </w:r>
      <w:r>
        <w:t xml:space="preserve">40%</w:t>
      </w:r>
    </w:p>
    <w:p>
      <w:pPr>
        <w:numPr>
          <w:ilvl w:val="0"/>
          <w:numId w:val="1005"/>
        </w:numPr>
        <w:pStyle w:val="Compact"/>
      </w:pPr>
      <w:r>
        <w:rPr>
          <w:bCs/>
          <w:b/>
        </w:rPr>
        <w:t xml:space="preserve">Energy Intensity (kWh/unit):</w:t>
      </w:r>
      <w:r>
        <w:t xml:space="preserve"> </w:t>
      </w:r>
      <w:r>
        <w:t xml:space="preserve">15 kWh/unit</w:t>
      </w:r>
    </w:p>
    <w:bookmarkEnd w:id="26"/>
    <w:bookmarkStart w:id="27" w:name="X573902256cc2f74e26e617194401be4eceb9979"/>
    <w:p>
      <w:pPr>
        <w:pStyle w:val="Heading4"/>
      </w:pPr>
      <w:r>
        <w:t xml:space="preserve">Durability and Consumption Data (Use Phase)</w:t>
      </w:r>
    </w:p>
    <w:p>
      <w:pPr>
        <w:numPr>
          <w:ilvl w:val="0"/>
          <w:numId w:val="1006"/>
        </w:numPr>
        <w:pStyle w:val="Compact"/>
      </w:pPr>
      <w:r>
        <w:rPr>
          <w:bCs/>
          <w:b/>
        </w:rPr>
        <w:t xml:space="preserve">Product Lifespan:</w:t>
      </w:r>
      <w:r>
        <w:t xml:space="preserve"> </w:t>
      </w:r>
      <w:r>
        <w:t xml:space="preserve">3 years</w:t>
      </w:r>
    </w:p>
    <w:p>
      <w:pPr>
        <w:numPr>
          <w:ilvl w:val="0"/>
          <w:numId w:val="1006"/>
        </w:numPr>
        <w:pStyle w:val="Compact"/>
      </w:pPr>
      <w:r>
        <w:rPr>
          <w:bCs/>
          <w:b/>
        </w:rPr>
        <w:t xml:space="preserve">Energy Consumption in Use:</w:t>
      </w:r>
      <w:r>
        <w:t xml:space="preserve"> </w:t>
      </w:r>
      <w:r>
        <w:t xml:space="preserve">20 kWh/year</w:t>
      </w:r>
    </w:p>
    <w:bookmarkEnd w:id="27"/>
    <w:bookmarkStart w:id="28" w:name="end-of-life-eol-scenarios"/>
    <w:p>
      <w:pPr>
        <w:pStyle w:val="Heading4"/>
      </w:pPr>
      <w:r>
        <w:t xml:space="preserve">End-of-Life (EoL) Scenarios</w:t>
      </w:r>
    </w:p>
    <w:p>
      <w:pPr>
        <w:numPr>
          <w:ilvl w:val="0"/>
          <w:numId w:val="1007"/>
        </w:numPr>
        <w:pStyle w:val="Compact"/>
      </w:pPr>
      <w:r>
        <w:rPr>
          <w:bCs/>
          <w:b/>
        </w:rPr>
        <w:t xml:space="preserve">Recyclability Percentage:</w:t>
      </w:r>
      <w:r>
        <w:t xml:space="preserve"> </w:t>
      </w:r>
      <w:r>
        <w:t xml:space="preserve">70%</w:t>
      </w:r>
    </w:p>
    <w:p>
      <w:pPr>
        <w:numPr>
          <w:ilvl w:val="0"/>
          <w:numId w:val="1007"/>
        </w:numPr>
        <w:pStyle w:val="Compact"/>
      </w:pPr>
      <w:r>
        <w:rPr>
          <w:bCs/>
          <w:b/>
        </w:rPr>
        <w:t xml:space="preserve">Circular/Take-back Programs:</w:t>
      </w:r>
      <w:r>
        <w:t xml:space="preserve"> </w:t>
      </w:r>
      <w:r>
        <w:t xml:space="preserve">Active take-back program for key components.</w:t>
      </w:r>
    </w:p>
    <w:bookmarkEnd w:id="28"/>
    <w:bookmarkEnd w:id="29"/>
    <w:bookmarkStart w:id="32" w:name="Xb404f6bea4a0013006ec7a9103609d9ea6643c1"/>
    <w:p>
      <w:pPr>
        <w:pStyle w:val="Heading3"/>
      </w:pPr>
      <w:r>
        <w:t xml:space="preserve">1.4. Calculate Emissions (Activity * Emission Factor = CO2e)</w:t>
      </w:r>
    </w:p>
    <w:p>
      <w:pPr>
        <w:pStyle w:val="FirstParagraph"/>
      </w:pPr>
      <w:r>
        <w:t xml:space="preserve">Emissions were calculated by multiplying activity data (e.g., kg of material, kWh of electricity, km traveled) by appropriate emission factors. Industry-standard emission factors were primarily sourced from databases such as Ecoinvent and DEFRA, or representative values derived from authoritative sources.</w:t>
      </w:r>
    </w:p>
    <w:bookmarkStart w:id="30" w:name="illustrative-emission-factors-used"/>
    <w:p>
      <w:pPr>
        <w:pStyle w:val="Heading4"/>
      </w:pPr>
      <w:r>
        <w:t xml:space="preserve">Illustrative Emission Factors Used:</w:t>
      </w:r>
    </w:p>
    <w:p>
      <w:pPr>
        <w:numPr>
          <w:ilvl w:val="0"/>
          <w:numId w:val="1008"/>
        </w:numPr>
        <w:pStyle w:val="Compact"/>
      </w:pPr>
      <w:r>
        <w:rPr>
          <w:bCs/>
          <w:b/>
        </w:rPr>
        <w:t xml:space="preserve">China Electricity Grid Mix (2025/2026 average):</w:t>
      </w:r>
      <w:r>
        <w:t xml:space="preserve"> </w:t>
      </w:r>
      <w:r>
        <w:t xml:space="preserve">0.6 kg CO2e/kWh</w:t>
      </w:r>
    </w:p>
    <w:p>
      <w:pPr>
        <w:numPr>
          <w:ilvl w:val="0"/>
          <w:numId w:val="1008"/>
        </w:numPr>
        <w:pStyle w:val="Compact"/>
      </w:pPr>
      <w:r>
        <w:rPr>
          <w:bCs/>
          <w:b/>
        </w:rPr>
        <w:t xml:space="preserve">Road Freight (Heavy Goods Vehicle):</w:t>
      </w:r>
      <w:r>
        <w:t xml:space="preserve"> </w:t>
      </w:r>
      <w:r>
        <w:t xml:space="preserve">0.1 kg CO2e/tonne-km</w:t>
      </w:r>
    </w:p>
    <w:p>
      <w:pPr>
        <w:numPr>
          <w:ilvl w:val="0"/>
          <w:numId w:val="1008"/>
        </w:numPr>
        <w:pStyle w:val="Compact"/>
      </w:pPr>
      <w:r>
        <w:rPr>
          <w:bCs/>
          <w:b/>
        </w:rPr>
        <w:t xml:space="preserve">Parcel Delivery Service (Last-Mile, per unit-km):</w:t>
      </w:r>
      <w:r>
        <w:t xml:space="preserve"> </w:t>
      </w:r>
      <w:r>
        <w:t xml:space="preserve">0.005 kg CO2e/unit-km (illustrative, assumes optimized last-mile delivery per unit)</w:t>
      </w:r>
    </w:p>
    <w:p>
      <w:pPr>
        <w:numPr>
          <w:ilvl w:val="0"/>
          <w:numId w:val="1008"/>
        </w:numPr>
        <w:pStyle w:val="Compact"/>
      </w:pPr>
      <w:r>
        <w:rPr>
          <w:bCs/>
          <w:b/>
        </w:rPr>
        <w:t xml:space="preserve">Generic Consumer Electricity Grid Mix (for Use Phase):</w:t>
      </w:r>
      <w:r>
        <w:t xml:space="preserve"> </w:t>
      </w:r>
      <w:r>
        <w:t xml:space="preserve">0.4 kg CO2e/kWh (illustrative for typical European/global mix)</w:t>
      </w:r>
    </w:p>
    <w:p>
      <w:pPr>
        <w:numPr>
          <w:ilvl w:val="0"/>
          <w:numId w:val="1008"/>
        </w:numPr>
        <w:pStyle w:val="Compact"/>
      </w:pPr>
      <w:r>
        <w:rPr>
          <w:bCs/>
          <w:b/>
        </w:rPr>
        <w:t xml:space="preserve">Residual Waste to Landfill:</w:t>
      </w:r>
      <w:r>
        <w:t xml:space="preserve"> </w:t>
      </w:r>
      <w:r>
        <w:t xml:space="preserve">1.5 kg CO2e/kg (illustrative)</w:t>
      </w:r>
    </w:p>
    <w:bookmarkEnd w:id="30"/>
    <w:bookmarkStart w:id="31" w:name="emission-calculation-breakdown"/>
    <w:p>
      <w:pPr>
        <w:pStyle w:val="Heading4"/>
      </w:pPr>
      <w:r>
        <w:t xml:space="preserve">Emission Calculation Breakdown:</w:t>
      </w:r>
    </w:p>
    <w:p>
      <w:pPr>
        <w:pStyle w:val="FirstParagraph"/>
      </w:pPr>
      <w:r>
        <w:t xml:space="preserve">The total product weight of piyiiuxsup from the BOM is 2 kg (Aluminum) + 0.5 kg (ABS) + 0.1 kg (Copper) + 0.05 units (Circuit Board, approximated to negligible mass for transport calculations or factored into unit-based EFs) = 2.65 kg. For simplicity, we assume the 0.05 units of Circuit Board adds a negligible mass to the total for transport weight.</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Category (GHG Protocol Scope)</w:t>
            </w:r>
          </w:p>
        </w:tc>
        <w:tc>
          <w:tcPr/>
          <w:p>
            <w:pPr>
              <w:pStyle w:val="Compact"/>
              <w:jc w:val="left"/>
            </w:pPr>
            <w:r>
              <w:t xml:space="preserve">Calculation</w:t>
            </w:r>
          </w:p>
        </w:tc>
        <w:tc>
          <w:tcPr/>
          <w:p>
            <w:pPr>
              <w:pStyle w:val="Compact"/>
              <w:jc w:val="left"/>
            </w:pPr>
            <w:r>
              <w:t xml:space="preserve">Emissions (kg CO2e)</w:t>
            </w:r>
          </w:p>
        </w:tc>
      </w:tr>
      <w:tr>
        <w:tc>
          <w:tcPr/>
          <w:p>
            <w:pPr>
              <w:pStyle w:val="Compact"/>
              <w:jc w:val="left"/>
            </w:pPr>
            <w:r>
              <w:rPr>
                <w:bCs/>
                <w:b/>
              </w:rPr>
              <w:t xml:space="preserve">Raw Material Acquisition &amp; Pre-processing</w:t>
            </w:r>
          </w:p>
        </w:tc>
        <w:tc>
          <w:tcPr/>
          <w:p>
            <w:pPr>
              <w:pStyle w:val="Compact"/>
              <w:jc w:val="left"/>
            </w:pPr>
            <w:r>
              <w:t xml:space="preserve">Scope 3, Category 1: Purchased Goods &amp; Services (Upstream)</w:t>
            </w:r>
          </w:p>
        </w:tc>
        <w:tc>
          <w:tcPr/>
          <w:p>
            <w:pPr>
              <w:pStyle w:val="Compact"/>
              <w:jc w:val="left"/>
            </w:pPr>
            <w:r>
              <w:t xml:space="preserve">Sum of \'Total Carbon\' from BOM</w:t>
            </w:r>
          </w:p>
        </w:tc>
        <w:tc>
          <w:tcPr/>
          <w:p>
            <w:pPr>
              <w:pStyle w:val="Compact"/>
              <w:jc w:val="left"/>
            </w:pPr>
            <w:r>
              <w:t xml:space="preserve">19.25</w:t>
            </w:r>
          </w:p>
        </w:tc>
      </w:tr>
      <w:tr>
        <w:tc>
          <w:tcPr/>
          <w:p>
            <w:pPr>
              <w:pStyle w:val="Compact"/>
              <w:jc w:val="left"/>
            </w:pPr>
            <w:r>
              <w:rPr>
                <w:bCs/>
                <w:b/>
              </w:rPr>
              <w:t xml:space="preserve">Manufacturing (Production) Energy</w:t>
            </w:r>
          </w:p>
        </w:tc>
        <w:tc>
          <w:tcPr/>
          <w:p>
            <w:pPr>
              <w:pStyle w:val="Compact"/>
              <w:jc w:val="left"/>
            </w:pPr>
            <w:r>
              <w:t xml:space="preserve">Scope 2: Purchased Electricity</w:t>
            </w:r>
          </w:p>
        </w:tc>
        <w:tc>
          <w:tcPr/>
          <w:p>
            <w:pPr>
              <w:pStyle w:val="Compact"/>
              <w:jc w:val="left"/>
            </w:pPr>
            <w:r>
              <w:t xml:space="preserve">15 kWh/unit * (1 - 0.40 Renewable) * 0.6 kg CO2e/kWh (China Grid)</w:t>
            </w:r>
          </w:p>
        </w:tc>
        <w:tc>
          <w:tcPr/>
          <w:p>
            <w:pPr>
              <w:pStyle w:val="Compact"/>
              <w:jc w:val="left"/>
            </w:pPr>
            <w:r>
              <w:t xml:space="preserve">5.40</w:t>
            </w:r>
          </w:p>
        </w:tc>
      </w:tr>
      <w:tr>
        <w:tc>
          <w:tcPr/>
          <w:p>
            <w:pPr>
              <w:pStyle w:val="Compact"/>
              <w:jc w:val="left"/>
            </w:pPr>
            <w:r>
              <w:rPr>
                <w:bCs/>
                <w:b/>
              </w:rPr>
              <w:t xml:space="preserve">Inbound Transportation</w:t>
            </w:r>
          </w:p>
        </w:tc>
        <w:tc>
          <w:tcPr/>
          <w:p>
            <w:pPr>
              <w:pStyle w:val="Compact"/>
              <w:jc w:val="left"/>
            </w:pPr>
            <w:r>
              <w:t xml:space="preserve">Scope 3, Category 4: Upstream Transportation &amp; Distribution</w:t>
            </w:r>
          </w:p>
        </w:tc>
        <w:tc>
          <w:tcPr/>
          <w:p>
            <w:pPr>
              <w:pStyle w:val="Compact"/>
              <w:jc w:val="left"/>
            </w:pPr>
            <w:r>
              <w:t xml:space="preserve">0.00265 tonnes (product mass) * 1200 km * 0.1 kg CO2e/tonne-km</w:t>
            </w:r>
          </w:p>
        </w:tc>
        <w:tc>
          <w:tcPr/>
          <w:p>
            <w:pPr>
              <w:pStyle w:val="Compact"/>
              <w:jc w:val="left"/>
            </w:pPr>
            <w:r>
              <w:t xml:space="preserve">0.32</w:t>
            </w:r>
          </w:p>
        </w:tc>
      </w:tr>
      <w:tr>
        <w:tc>
          <w:tcPr/>
          <w:p>
            <w:pPr>
              <w:pStyle w:val="Compact"/>
              <w:jc w:val="left"/>
            </w:pPr>
            <w:r>
              <w:rPr>
                <w:bCs/>
                <w:b/>
              </w:rPr>
              <w:t xml:space="preserve">Outbound Last-Mile Delivery</w:t>
            </w:r>
          </w:p>
        </w:tc>
        <w:tc>
          <w:tcPr/>
          <w:p>
            <w:pPr>
              <w:pStyle w:val="Compact"/>
              <w:jc w:val="left"/>
            </w:pPr>
            <w:r>
              <w:t xml:space="preserve">Scope 3, Category 9: Downstream Transportation &amp; Distribution</w:t>
            </w:r>
          </w:p>
        </w:tc>
        <w:tc>
          <w:tcPr/>
          <w:p>
            <w:pPr>
              <w:pStyle w:val="Compact"/>
              <w:jc w:val="left"/>
            </w:pPr>
            <w:r>
              <w:t xml:space="preserve">1 unit * 50 km * 0.005 kg CO2e/unit-km</w:t>
            </w:r>
          </w:p>
        </w:tc>
        <w:tc>
          <w:tcPr/>
          <w:p>
            <w:pPr>
              <w:pStyle w:val="Compact"/>
              <w:jc w:val="left"/>
            </w:pPr>
            <w:r>
              <w:t xml:space="preserve">0.25</w:t>
            </w:r>
          </w:p>
        </w:tc>
      </w:tr>
      <w:tr>
        <w:tc>
          <w:tcPr/>
          <w:p>
            <w:pPr>
              <w:pStyle w:val="Compact"/>
              <w:jc w:val="left"/>
            </w:pPr>
            <w:r>
              <w:rPr>
                <w:bCs/>
                <w:b/>
              </w:rPr>
              <w:t xml:space="preserve">Use Phase Energy Consumption</w:t>
            </w:r>
          </w:p>
        </w:tc>
        <w:tc>
          <w:tcPr/>
          <w:p>
            <w:pPr>
              <w:pStyle w:val="Compact"/>
              <w:jc w:val="left"/>
            </w:pPr>
            <w:r>
              <w:t xml:space="preserve">Scope 3, Category 11: Use of Sold Products</w:t>
            </w:r>
          </w:p>
        </w:tc>
        <w:tc>
          <w:tcPr/>
          <w:p>
            <w:pPr>
              <w:pStyle w:val="Compact"/>
              <w:jc w:val="left"/>
            </w:pPr>
            <w:r>
              <w:t xml:space="preserve">3 years * 20 kWh/year * 0.4 kg CO2e/kWh (Generic Grid Mix)</w:t>
            </w:r>
          </w:p>
        </w:tc>
        <w:tc>
          <w:tcPr/>
          <w:p>
            <w:pPr>
              <w:pStyle w:val="Compact"/>
              <w:jc w:val="left"/>
            </w:pPr>
            <w:r>
              <w:t xml:space="preserve">24.00</w:t>
            </w:r>
          </w:p>
        </w:tc>
      </w:tr>
      <w:tr>
        <w:tc>
          <w:tcPr/>
          <w:p>
            <w:pPr>
              <w:pStyle w:val="Compact"/>
              <w:jc w:val="left"/>
            </w:pPr>
            <w:r>
              <w:rPr>
                <w:bCs/>
                <w:b/>
              </w:rPr>
              <w:t xml:space="preserve">End-of-Life (Residual Waste)</w:t>
            </w:r>
          </w:p>
        </w:tc>
        <w:tc>
          <w:tcPr/>
          <w:p>
            <w:pPr>
              <w:pStyle w:val="Compact"/>
              <w:jc w:val="left"/>
            </w:pPr>
            <w:r>
              <w:t xml:space="preserve">Scope 3, Category 12: End-of-Life Treatment of Sold Products</w:t>
            </w:r>
          </w:p>
        </w:tc>
        <w:tc>
          <w:tcPr/>
          <w:p>
            <w:pPr>
              <w:pStyle w:val="Compact"/>
              <w:jc w:val="left"/>
            </w:pPr>
            <w:r>
              <w:t xml:space="preserve">2.65 kg (product mass) * (1 - 0.70 Recyclability) * 1.5 kg CO2e/kg (Landfill)</w:t>
            </w:r>
          </w:p>
        </w:tc>
        <w:tc>
          <w:tcPr/>
          <w:p>
            <w:pPr>
              <w:pStyle w:val="Compact"/>
              <w:jc w:val="left"/>
            </w:pPr>
            <w:r>
              <w:t xml:space="preserve">1.19</w:t>
            </w:r>
          </w:p>
        </w:tc>
      </w:tr>
      <w:tr>
        <w:tc>
          <w:tcPr>
            <w:gridSpan w:val="3"/>
          </w:tcPr>
          <w:p>
            <w:pPr>
              <w:pStyle w:val="Compact"/>
              <w:jc w:val="right"/>
            </w:pPr>
            <w:r>
              <w:t xml:space="preserve">Total Product Carbon Footprint (PCF)</w:t>
            </w:r>
          </w:p>
        </w:tc>
        <w:tc>
          <w:tcPr/>
          <w:p>
            <w:pPr>
              <w:pStyle w:val="Compact"/>
              <w:jc w:val="left"/>
            </w:pPr>
            <w:r>
              <w:rPr>
                <w:bCs/>
                <w:b/>
              </w:rPr>
              <w:t xml:space="preserve">50.41</w:t>
            </w:r>
          </w:p>
        </w:tc>
      </w:tr>
    </w:tbl>
    <w:bookmarkEnd w:id="31"/>
    <w:bookmarkEnd w:id="32"/>
    <w:bookmarkStart w:id="33" w:name="review-report"/>
    <w:p>
      <w:pPr>
        <w:pStyle w:val="Heading3"/>
      </w:pPr>
      <w:r>
        <w:t xml:space="preserve">1.5. Review &amp; Report</w:t>
      </w:r>
    </w:p>
    <w:p>
      <w:pPr>
        <w:pStyle w:val="FirstParagraph"/>
      </w:pPr>
      <w:r>
        <w:t xml:space="preserve">The calculations indicate a total Product Carbon Footprint of</w:t>
      </w:r>
      <w:r>
        <w:t xml:space="preserve"> </w:t>
      </w:r>
      <w:r>
        <w:rPr>
          <w:bCs/>
          <w:b/>
        </w:rPr>
        <w:t xml:space="preserve">50.41 kg CO2e per functional unit</w:t>
      </w:r>
      <w:r>
        <w:t xml:space="preserve"> </w:t>
      </w:r>
      <w:r>
        <w:t xml:space="preserve">of piyiiuxsup.</w:t>
      </w:r>
    </w:p>
    <w:bookmarkEnd w:id="33"/>
    <w:bookmarkEnd w:id="34"/>
    <w:bookmarkStart w:id="35" w:name="key-findings-and-hotspots"/>
    <w:p>
      <w:pPr>
        <w:pStyle w:val="Heading2"/>
      </w:pPr>
      <w:r>
        <w:t xml:space="preserve">2. Key Findings and Hotspots</w:t>
      </w:r>
    </w:p>
    <w:p>
      <w:pPr>
        <w:numPr>
          <w:ilvl w:val="0"/>
          <w:numId w:val="1009"/>
        </w:numPr>
        <w:pStyle w:val="Compact"/>
      </w:pPr>
      <w:r>
        <w:rPr>
          <w:bCs/>
          <w:b/>
        </w:rPr>
        <w:t xml:space="preserve">Use Phase Dominance:</w:t>
      </w:r>
      <w:r>
        <w:t xml:space="preserve"> </w:t>
      </w:r>
      <w:r>
        <w:t xml:space="preserve">The most significant hotspot for piyiiuxsup\'s carbon footprint is identified in the Use Phase, accounting for approximately 47.6% of the total PCF (24.00 kg CO2e). This highlights the importance of energy efficiency during product operation and the impact of the energy source used by the end-consumer.</w:t>
      </w:r>
    </w:p>
    <w:p>
      <w:pPr>
        <w:numPr>
          <w:ilvl w:val="0"/>
          <w:numId w:val="1009"/>
        </w:numPr>
        <w:pStyle w:val="Compact"/>
      </w:pPr>
      <w:r>
        <w:rPr>
          <w:bCs/>
          <w:b/>
        </w:rPr>
        <w:t xml:space="preserve">Material Impact:</w:t>
      </w:r>
      <w:r>
        <w:t xml:space="preserve"> </w:t>
      </w:r>
      <w:r>
        <w:t xml:space="preserve">Raw Material Acquisition and Pre-processing constitute the second largest contributor, at about 38.2% (19.25 kg CO2e). The specific materials and their manufacturing processes, as detailed in the BOM, are critical drivers of this impact.</w:t>
      </w:r>
    </w:p>
    <w:p>
      <w:pPr>
        <w:numPr>
          <w:ilvl w:val="0"/>
          <w:numId w:val="1009"/>
        </w:numPr>
        <w:pStyle w:val="Compact"/>
      </w:pPr>
      <w:r>
        <w:rPr>
          <w:bCs/>
          <w:b/>
        </w:rPr>
        <w:t xml:space="preserve">Manufacturing Energy:</w:t>
      </w:r>
      <w:r>
        <w:t xml:space="preserve"> </w:t>
      </w:r>
      <w:r>
        <w:t xml:space="preserve">Emissions from the manufacturing process, primarily from purchased electricity, account for 10.7% (5.40 kg CO2e). The 40% renewable energy usage significantly mitigates this impact; without it, the footprint in this stage would be considerably higher.</w:t>
      </w:r>
    </w:p>
    <w:p>
      <w:pPr>
        <w:numPr>
          <w:ilvl w:val="0"/>
          <w:numId w:val="1009"/>
        </w:numPr>
        <w:pStyle w:val="Compact"/>
      </w:pPr>
      <w:r>
        <w:rPr>
          <w:bCs/>
          <w:b/>
        </w:rPr>
        <w:t xml:space="preserve">Logistics (Upstream &amp; Downstream):</w:t>
      </w:r>
      <w:r>
        <w:t xml:space="preserve"> </w:t>
      </w:r>
      <w:r>
        <w:t xml:space="preserve">Transportation activities combined contribute a smaller, but still notable, portion of the footprint at approximately 1.1% (0.32 kg CO2e for inbound) and 0.5% (0.25 kg CO2e for last-mile).</w:t>
      </w:r>
    </w:p>
    <w:p>
      <w:pPr>
        <w:numPr>
          <w:ilvl w:val="0"/>
          <w:numId w:val="1009"/>
        </w:numPr>
        <w:pStyle w:val="Compact"/>
      </w:pPr>
      <w:r>
        <w:rPr>
          <w:bCs/>
          <w:b/>
        </w:rPr>
        <w:t xml:space="preserve">End-of-Life:</w:t>
      </w:r>
      <w:r>
        <w:t xml:space="preserve"> </w:t>
      </w:r>
      <w:r>
        <w:t xml:space="preserve">The End-of-Life stage contributes about 2.4% (1.19 kg CO2e). The stated 70% recyclability and active take-back programs are crucial in minimizing this impact. Enhancing these circular economy strategies further could lead to additional reductions.</w:t>
      </w:r>
    </w:p>
    <w:bookmarkEnd w:id="35"/>
    <w:bookmarkStart w:id="36" w:name="data-reliability-and-limitations"/>
    <w:p>
      <w:pPr>
        <w:pStyle w:val="Heading2"/>
      </w:pPr>
      <w:r>
        <w:t xml:space="preserve">3. Data Reliability and Limitations</w:t>
      </w:r>
    </w:p>
    <w:p>
      <w:pPr>
        <w:pStyle w:val="FirstParagraph"/>
      </w:pPr>
      <w:r>
        <w:t xml:space="preserve">The accuracy of this PCF analysis is contingent upon the data provided and the assumptions made where specific primary data was unavailable.</w:t>
      </w:r>
    </w:p>
    <w:p>
      <w:pPr>
        <w:numPr>
          <w:ilvl w:val="0"/>
          <w:numId w:val="1010"/>
        </w:numPr>
        <w:pStyle w:val="Compact"/>
      </w:pPr>
      <w:r>
        <w:rPr>
          <w:bCs/>
          <w:b/>
        </w:rPr>
        <w:t xml:space="preserve">BOM Data:</w:t>
      </w:r>
      <w:r>
        <w:t xml:space="preserve"> </w:t>
      </w:r>
      <w:r>
        <w:t xml:space="preserve">The provided Detailed Bill of Materials (gopvlkkt) with specific \'Total Carbon\' values significantly enhances the accuracy of the material impact calculation, moving beyond default estimates.</w:t>
      </w:r>
    </w:p>
    <w:p>
      <w:pPr>
        <w:numPr>
          <w:ilvl w:val="0"/>
          <w:numId w:val="1010"/>
        </w:numPr>
        <w:pStyle w:val="Compact"/>
      </w:pPr>
      <w:r>
        <w:rPr>
          <w:bCs/>
          <w:b/>
        </w:rPr>
        <w:t xml:space="preserve">Placeholder Data:</w:t>
      </w:r>
      <w:r>
        <w:t xml:space="preserve"> </w:t>
      </w:r>
      <w:r>
        <w:t xml:space="preserve">Several parameters (e.g., "Select Mode", "rmhgkpdwnk", "Delivery Type", "ehfddgvhtk", "umgedztiip", "ilelrfynsn", "zyqxugnoyk", "tpojdzmljd", "rrnmgkmvyy") were provided as placeholders. While representative industry averages and reasonable assumptions were used for illustrative calculations, actual values would require specific primary data for greater precision.</w:t>
      </w:r>
    </w:p>
    <w:p>
      <w:pPr>
        <w:numPr>
          <w:ilvl w:val="0"/>
          <w:numId w:val="1010"/>
        </w:numPr>
        <w:pStyle w:val="Compact"/>
      </w:pPr>
      <w:r>
        <w:rPr>
          <w:bCs/>
          <w:b/>
        </w:rPr>
        <w:t xml:space="preserve">Emission Factors:</w:t>
      </w:r>
      <w:r>
        <w:t xml:space="preserve"> </w:t>
      </w:r>
      <w:r>
        <w:t xml:space="preserve">Generic, industry-standard emission factors (e.g., Ecoinvent/DEFRA equivalents) were used. These are generally robust for secondary data, but product-specific or supplier-specific emission factors would further refine the results.</w:t>
      </w:r>
    </w:p>
    <w:p>
      <w:pPr>
        <w:numPr>
          <w:ilvl w:val="0"/>
          <w:numId w:val="1010"/>
        </w:numPr>
        <w:pStyle w:val="Compact"/>
      </w:pPr>
      <w:r>
        <w:rPr>
          <w:bCs/>
          <w:b/>
        </w:rPr>
        <w:t xml:space="preserve">Geographic Specificity:</w:t>
      </w:r>
      <w:r>
        <w:t xml:space="preserve"> </w:t>
      </w:r>
      <w:r>
        <w:t xml:space="preserve">While the final production country is China, and the supply chain is Europe-focused, the exact sourcing locations within Europe and specific transport routes were not detailed, leading to reliance on average transport emission factors. The China electricity grid mix factor used is a representative average for 2025/2026.</w:t>
      </w:r>
    </w:p>
    <w:p>
      <w:pPr>
        <w:numPr>
          <w:ilvl w:val="0"/>
          <w:numId w:val="1010"/>
        </w:numPr>
        <w:pStyle w:val="Compact"/>
      </w:pPr>
      <w:r>
        <w:rPr>
          <w:bCs/>
          <w:b/>
        </w:rPr>
        <w:t xml:space="preserve">LSR Standard and Scope 3 Coverage:</w:t>
      </w:r>
      <w:r>
        <w:t xml:space="preserve"> </w:t>
      </w:r>
      <w:r>
        <w:t xml:space="preserve">The report has acknowledged the 2026 updates for LSR and Scope 3. Achieving the 95% Scope 3 coverage target would require extensive engagement with upstream and downstream partners to collect primary data across all relevant categories, including more granular data disaggregation.</w:t>
      </w:r>
    </w:p>
    <w:bookmarkEnd w:id="36"/>
    <w:bookmarkStart w:id="37" w:name="recommendations"/>
    <w:p>
      <w:pPr>
        <w:pStyle w:val="Heading2"/>
      </w:pPr>
      <w:r>
        <w:t xml:space="preserve">4. Recommendations</w:t>
      </w:r>
    </w:p>
    <w:p>
      <w:pPr>
        <w:pStyle w:val="FirstParagraph"/>
      </w:pPr>
      <w:r>
        <w:t xml:space="preserve">To further reduce the Product Carbon Footprint of piyiiuxsup and enhance reporting accuracy, zlsgvewofk should consider:</w:t>
      </w:r>
    </w:p>
    <w:p>
      <w:pPr>
        <w:numPr>
          <w:ilvl w:val="0"/>
          <w:numId w:val="1011"/>
        </w:numPr>
        <w:pStyle w:val="Compact"/>
      </w:pPr>
      <w:r>
        <w:rPr>
          <w:bCs/>
          <w:b/>
        </w:rPr>
        <w:t xml:space="preserve">Energy Efficiency in Use Phase:</w:t>
      </w:r>
      <w:r>
        <w:t xml:space="preserve"> </w:t>
      </w:r>
      <w:r>
        <w:t xml:space="preserve">Investigate opportunities to reduce energy consumption during the product\'s use phase, potentially through design improvements or consumer education on efficient usage.</w:t>
      </w:r>
    </w:p>
    <w:p>
      <w:pPr>
        <w:numPr>
          <w:ilvl w:val="0"/>
          <w:numId w:val="1011"/>
        </w:numPr>
        <w:pStyle w:val="Compact"/>
      </w:pPr>
      <w:r>
        <w:rPr>
          <w:bCs/>
          <w:b/>
        </w:rPr>
        <w:t xml:space="preserve">Renewable Energy Sourcing:</w:t>
      </w:r>
      <w:r>
        <w:t xml:space="preserve"> </w:t>
      </w:r>
      <w:r>
        <w:t xml:space="preserve">Increase the percentage of renewable energy used in manufacturing operations in China, and explore opportunities to influence renewable energy adoption in upstream supply chain partners.</w:t>
      </w:r>
    </w:p>
    <w:p>
      <w:pPr>
        <w:numPr>
          <w:ilvl w:val="0"/>
          <w:numId w:val="1011"/>
        </w:numPr>
        <w:pStyle w:val="Compact"/>
      </w:pPr>
      <w:r>
        <w:rPr>
          <w:bCs/>
          <w:b/>
        </w:rPr>
        <w:t xml:space="preserve">Material Optimization:</w:t>
      </w:r>
      <w:r>
        <w:t xml:space="preserve"> </w:t>
      </w:r>
      <w:r>
        <w:t xml:space="preserve">Explore alternative materials with lower inherent carbon footprints or optimize material usage to reduce overall quantity, while maintaining product quality and performance.</w:t>
      </w:r>
    </w:p>
    <w:p>
      <w:pPr>
        <w:numPr>
          <w:ilvl w:val="0"/>
          <w:numId w:val="1011"/>
        </w:numPr>
        <w:pStyle w:val="Compact"/>
      </w:pPr>
      <w:r>
        <w:rPr>
          <w:bCs/>
          <w:b/>
        </w:rPr>
        <w:t xml:space="preserve">Supplier Engagement for Scope 3 Data:</w:t>
      </w:r>
      <w:r>
        <w:t xml:space="preserve"> </w:t>
      </w:r>
      <w:r>
        <w:t xml:space="preserve">Engage with key suppliers to collect primary data on their emissions, especially for high-impact materials and components, to improve the accuracy of Scope 3, Category 1 reporting.</w:t>
      </w:r>
    </w:p>
    <w:p>
      <w:pPr>
        <w:numPr>
          <w:ilvl w:val="0"/>
          <w:numId w:val="1011"/>
        </w:numPr>
        <w:pStyle w:val="Compact"/>
      </w:pPr>
      <w:r>
        <w:rPr>
          <w:bCs/>
          <w:b/>
        </w:rPr>
        <w:t xml:space="preserve">Logistics Optimization:</w:t>
      </w:r>
      <w:r>
        <w:t xml:space="preserve"> </w:t>
      </w:r>
      <w:r>
        <w:t xml:space="preserve">Optimize transport routes, consolidate shipments, and explore lower-emission transport modes where feasible to reduce logistics-related emissions.</w:t>
      </w:r>
    </w:p>
    <w:p>
      <w:pPr>
        <w:numPr>
          <w:ilvl w:val="0"/>
          <w:numId w:val="1011"/>
        </w:numPr>
        <w:pStyle w:val="Compact"/>
      </w:pPr>
      <w:r>
        <w:rPr>
          <w:bCs/>
          <w:b/>
        </w:rPr>
        <w:t xml:space="preserve">Enhance Circularity:</w:t>
      </w:r>
      <w:r>
        <w:t xml:space="preserve"> </w:t>
      </w:r>
      <w:r>
        <w:t xml:space="preserve">Further develop and promote circular/take-back programs, and explore design for disassembly and material recovery to maximize the benefits of recyclability beyond the current 70%.</w:t>
      </w:r>
    </w:p>
    <w:p>
      <w:r>
        <w:pict>
          <v:rect style="width:0;height:1.5pt" o:hralign="center" o:hrstd="t" o:hr="t"/>
        </w:pict>
      </w:r>
    </w:p>
    <w:p>
      <w:pPr>
        <w:pStyle w:val="FirstParagraph"/>
      </w:pPr>
      <w:r>
        <w:t xml:space="preserve">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piyiiuxsup</dc:title>
  <dc:creator/>
  <dc:description>High-detail Product Carbon Footprint (PCF) analysis for piyiiuxsup, performed by ugyxipwhnd for zlsgvewofk, adhering to GHG Protocol and 2026 updates.</dc:description>
  <dc:language>en</dc:language>
  <cp:keywords/>
  <dcterms:created xsi:type="dcterms:W3CDTF">2026-05-30T16:54:17Z</dcterms:created>
  <dcterms:modified xsi:type="dcterms:W3CDTF">2026-05-30T16:54:17Z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