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phfgowsrst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phfgowsrst</w:t>
      </w:r>
    </w:p>
    <w:p>
      <w:pPr>
        <w:pStyle w:val="BodyText"/>
      </w:pPr>
      <w:r>
        <w:rPr>
          <w:bCs/>
          <w:b/>
        </w:rPr>
        <w:t xml:space="preserve">Company Name:</w:t>
      </w:r>
      <w:r>
        <w:t xml:space="preserve"> </w:t>
      </w:r>
      <w:r>
        <w:t xml:space="preserve">qlsvdimkpk</w:t>
      </w:r>
    </w:p>
    <w:p>
      <w:pPr>
        <w:pStyle w:val="BodyText"/>
      </w:pPr>
      <w:r>
        <w:rPr>
          <w:bCs/>
          <w:b/>
        </w:rPr>
        <w:t xml:space="preserve">Senior Sustainability Consultant:</w:t>
      </w:r>
      <w:r>
        <w:t xml:space="preserve"> </w:t>
      </w:r>
      <w:r>
        <w:t xml:space="preserve">zepjortduv</w:t>
      </w:r>
    </w:p>
    <w:p>
      <w:pPr>
        <w:pStyle w:val="BodyText"/>
      </w:pPr>
      <w:r>
        <w:rPr>
          <w:bCs/>
          <w:b/>
        </w:rPr>
        <w:t xml:space="preserve">Protocol Data (Accounting Standard):</w:t>
      </w:r>
      <w:r>
        <w:t xml:space="preserve"> </w:t>
      </w:r>
      <w:r>
        <w:t xml:space="preserve">GHG Protocol</w:t>
      </w:r>
    </w:p>
    <w:p>
      <w:pPr>
        <w:pStyle w:val="BodyText"/>
      </w:pPr>
      <w:r>
        <w:rPr>
          <w:bCs/>
          <w:b/>
        </w:rPr>
        <w:t xml:space="preserve">Disclaimer:</w:t>
      </w:r>
      <w:r>
        <w:t xml:space="preserve"> </w:t>
      </w:r>
      <w:r>
        <w:t xml:space="preserve">This report is generated based on available data and industry standards. While every effort has been made to ensure accuracy, the actual carbon footprint may vary depending on real-world conditions, supplier data availability, and evolving methodologies. This analysis serves as a comprehensive estimate and guide for sustainability efforts.</w:t>
      </w:r>
    </w:p>
    <w:bookmarkEnd w:id="20"/>
    <w:p>
      <w:pPr>
        <w:pStyle w:val="BodyText"/>
      </w:pPr>
      <w:r>
        <w:t xml:space="preserve">Generated Date: May 27, 2026</w:t>
      </w:r>
    </w:p>
    <w:bookmarkStart w:id="48" w:name="Xaaa472d8dd28d328845b9bf9b4c05e56533ffb9"/>
    <w:p>
      <w:pPr>
        <w:pStyle w:val="Heading1"/>
      </w:pPr>
      <w:r>
        <w:t xml:space="preserve">Product Carbon Footprint Analysis for phfgowsrst</w:t>
      </w:r>
    </w:p>
    <w:p>
      <w:pPr>
        <w:pStyle w:val="FirstParagraph"/>
      </w:pPr>
      <w:r>
        <w:rPr>
          <w:bCs/>
          <w:b/>
        </w:rPr>
        <w:t xml:space="preserve">Prepared for:</w:t>
      </w:r>
      <w:r>
        <w:t xml:space="preserve"> </w:t>
      </w:r>
      <w:r>
        <w:t xml:space="preserve">qlsvdimkpk</w:t>
      </w:r>
    </w:p>
    <w:p>
      <w:pPr>
        <w:pStyle w:val="BodyText"/>
      </w:pPr>
      <w:r>
        <w:rPr>
          <w:bCs/>
          <w:b/>
        </w:rPr>
        <w:t xml:space="preserve">Prepared by:</w:t>
      </w:r>
      <w:r>
        <w:t xml:space="preserve"> </w:t>
      </w:r>
      <w:r>
        <w:t xml:space="preserve">zepjortduv, Senior Sustainability Consultant</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phfgowsrst, developed for qlsvdimkpk. The analysis adheres strictly to the GHG Protocol accounting standard, incorporating the latest 2026 updates including the Land Sector and Removals (LSR) Standard and stringent Scope 3 compliance requirements. The total Cradle-to-Grave PCF for one functional unit of phfgowsrst is calculated to be approximately</w:t>
      </w:r>
      <w:r>
        <w:t xml:space="preserve"> </w:t>
      </w:r>
      <w:r>
        <w:rPr>
          <w:bCs/>
          <w:b/>
        </w:rPr>
        <w:t xml:space="preserve">24.31 kg CO₂e</w:t>
      </w:r>
      <w:r>
        <w:t xml:space="preserve">. The primary hotspots identified are the use phase, followed by material acquisition and production energy. This report provides a foundational understanding for targeted emission reduction strategies.</w:t>
      </w:r>
    </w:p>
    <w:p>
      <w:r>
        <w:pict>
          <v:rect style="width:0;height:1.5pt" o:hralign="center" o:hrstd="t" o:hr="t"/>
        </w:pict>
      </w:r>
    </w:p>
    <w:bookmarkEnd w:id="21"/>
    <w:bookmarkStart w:id="22" w:name="introduction"/>
    <w:p>
      <w:pPr>
        <w:pStyle w:val="Heading2"/>
      </w:pPr>
      <w:r>
        <w:t xml:space="preserve">2. Introduction</w:t>
      </w:r>
    </w:p>
    <w:p>
      <w:pPr>
        <w:pStyle w:val="FirstParagraph"/>
      </w:pPr>
      <w:r>
        <w:t xml:space="preserve">In response to growing environmental concerns and regulatory pressures, qlsvdimkpk commissioned zepjortduv to conduct a comprehensive Product Carbon Footprint (PCF) analysis for its product, phfgowsrst. This assessment quantifies the greenhouse gas (GHG) emissions associated with the entire lifecycle of phfgowsrst, from raw material extraction through manufacturing, distribution, use, and end-of-life. The aim is to identify major emission sources, inform product design, supply chain management, and contribute to qlsvdimkpk\'s overall sustainability strategy.</w:t>
      </w:r>
    </w:p>
    <w:p>
      <w:pPr>
        <w:pStyle w:val="BodyText"/>
      </w:pPr>
      <w:r>
        <w:t xml:space="preserve">This analysis strictly follows the Greenhouse Gas Protocol\'s Corporate Accounting and Reporting Standard and the Corporate Value Chain (Scope 3) Accounting and Reporting Standard.</w:t>
      </w:r>
    </w:p>
    <w:p>
      <w:r>
        <w:pict>
          <v:rect style="width:0;height:1.5pt" o:hralign="center" o:hrstd="t" o:hr="t"/>
        </w:pict>
      </w:r>
    </w:p>
    <w:bookmarkEnd w:id="22"/>
    <w:bookmarkStart w:id="26" w:name="methodology"/>
    <w:p>
      <w:pPr>
        <w:pStyle w:val="Heading2"/>
      </w:pPr>
      <w:r>
        <w:t xml:space="preserve">3. Methodology</w:t>
      </w:r>
    </w:p>
    <w:p>
      <w:pPr>
        <w:pStyle w:val="FirstParagraph"/>
      </w:pPr>
      <w:r>
        <w:t xml:space="preserve">The PCF analysis was conducted following the five-step methodology prescribed by leading international standards, adapted to specifically adhere to the GHG Protocol:</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Detail all processes and activities across the product\'s life cycle.</w:t>
      </w:r>
    </w:p>
    <w:p>
      <w:pPr>
        <w:numPr>
          <w:ilvl w:val="0"/>
          <w:numId w:val="1001"/>
        </w:numPr>
        <w:pStyle w:val="Compact"/>
      </w:pPr>
      <w:r>
        <w:rPr>
          <w:bCs/>
          <w:b/>
        </w:rPr>
        <w:t xml:space="preserve">Collect Data:</w:t>
      </w:r>
      <w:r>
        <w:t xml:space="preserve"> </w:t>
      </w:r>
      <w:r>
        <w:t xml:space="preserve">Gather primary and secondary data points for all identified inputs and outputs.</w:t>
      </w:r>
    </w:p>
    <w:p>
      <w:pPr>
        <w:numPr>
          <w:ilvl w:val="0"/>
          <w:numId w:val="1001"/>
        </w:numPr>
        <w:pStyle w:val="Compact"/>
      </w:pPr>
      <w:r>
        <w:rPr>
          <w:bCs/>
          <w:b/>
        </w:rPr>
        <w:t xml:space="preserve">Calculate Emissions:</w:t>
      </w:r>
      <w:r>
        <w:t xml:space="preserve"> </w:t>
      </w:r>
      <w:r>
        <w:t xml:space="preserve">Quantify GHG emissions by multiplying activity data by relevant emission factors (Activity × Emission Factor = CO₂e).</w:t>
      </w:r>
    </w:p>
    <w:p>
      <w:pPr>
        <w:numPr>
          <w:ilvl w:val="0"/>
          <w:numId w:val="1001"/>
        </w:numPr>
        <w:pStyle w:val="Compact"/>
      </w:pPr>
      <w:r>
        <w:rPr>
          <w:bCs/>
          <w:b/>
        </w:rPr>
        <w:t xml:space="preserve">Review &amp; Report:</w:t>
      </w:r>
      <w:r>
        <w:t xml:space="preserve"> </w:t>
      </w:r>
      <w:r>
        <w:t xml:space="preserve">Identify emission hotspots, assess data reliability, and provide actionable recommendations.</w:t>
      </w:r>
    </w:p>
    <w:bookmarkStart w:id="23" w:name="adherence-to-ghg-protocol"/>
    <w:p>
      <w:pPr>
        <w:pStyle w:val="Heading3"/>
      </w:pPr>
      <w:r>
        <w:t xml:space="preserve">3.1. Adherence to GHG Protocol</w:t>
      </w:r>
    </w:p>
    <w:p>
      <w:pPr>
        <w:pStyle w:val="FirstParagraph"/>
      </w:pPr>
      <w:r>
        <w:t xml:space="preserve">Emissions are categorized into three scopes:</w:t>
      </w:r>
    </w:p>
    <w:p>
      <w:pPr>
        <w:numPr>
          <w:ilvl w:val="0"/>
          <w:numId w:val="1002"/>
        </w:numPr>
        <w:pStyle w:val="Compact"/>
      </w:pPr>
      <w:r>
        <w:rPr>
          <w:bCs/>
          <w:b/>
        </w:rPr>
        <w:t xml:space="preserve">Scope 1:</w:t>
      </w:r>
      <w:r>
        <w:t xml:space="preserve"> </w:t>
      </w:r>
      <w:r>
        <w:t xml:space="preserve">Direct GHG emissions from sources owned or controlled by qlsvdimkpk (e.g., direct combustion in owned facilities).</w:t>
      </w:r>
    </w:p>
    <w:p>
      <w:pPr>
        <w:numPr>
          <w:ilvl w:val="0"/>
          <w:numId w:val="1002"/>
        </w:numPr>
        <w:pStyle w:val="Compact"/>
      </w:pPr>
      <w:r>
        <w:rPr>
          <w:bCs/>
          <w:b/>
        </w:rPr>
        <w:t xml:space="preserve">Scope 2:</w:t>
      </w:r>
      <w:r>
        <w:t xml:space="preserve"> </w:t>
      </w:r>
      <w:r>
        <w:t xml:space="preserve">Indirect GHG emissions from the generation of purchased electricity, heat, or steam consumed by qlsvdimkpk\'s operations.</w:t>
      </w:r>
    </w:p>
    <w:p>
      <w:pPr>
        <w:numPr>
          <w:ilvl w:val="0"/>
          <w:numId w:val="1002"/>
        </w:numPr>
        <w:pStyle w:val="Compact"/>
      </w:pPr>
      <w:r>
        <w:rPr>
          <w:bCs/>
          <w:b/>
        </w:rPr>
        <w:t xml:space="preserve">Scope 3:</w:t>
      </w:r>
      <w:r>
        <w:t xml:space="preserve"> </w:t>
      </w:r>
      <w:r>
        <w:t xml:space="preserve">All other indirect GHG emissions occurring in the value chain, both upstream and downstream of qlsvdimkpk\'s operations. This typically accounts for the majority of a company\'s total carbon footprint.</w:t>
      </w:r>
    </w:p>
    <w:bookmarkEnd w:id="23"/>
    <w:bookmarkStart w:id="24" w:name="land-sector-and-removals-lsr-update"/>
    <w:p>
      <w:pPr>
        <w:pStyle w:val="Heading3"/>
      </w:pPr>
      <w:r>
        <w:t xml:space="preserve">3.2. 2026 Land Sector and Removals (LSR) Update</w:t>
      </w:r>
    </w:p>
    <w:p>
      <w:pPr>
        <w:pStyle w:val="FirstParagraph"/>
      </w:pPr>
      <w:r>
        <w:t xml:space="preserve">The analysis acknowledges the 2026 LSR Standard, effective January 1, 2027, which provides requirements and guidance for quantifying, reporting, and tracking land emissions and CO₂ removals. For phfgowsrst, a manufactured product not directly involving significant land management, land-use change, or biogenic product streams, direct LSR impacts are considered minimal within this assessment and are assumed to be implicitly covered within the upstream emission factors of purchased materials. A detailed LSR analysis would require specific data on bio-based materials or direct land-use change associated with resource extraction, which were not provided in detail for this product\'s components.</w:t>
      </w:r>
    </w:p>
    <w:bookmarkEnd w:id="24"/>
    <w:bookmarkStart w:id="25" w:name="scope-3-compliance-2026-requirements"/>
    <w:p>
      <w:pPr>
        <w:pStyle w:val="Heading3"/>
      </w:pPr>
      <w:r>
        <w:t xml:space="preserve">3.3. Scope 3 Compliance (2026 Requirements)</w:t>
      </w:r>
    </w:p>
    <w:p>
      <w:pPr>
        <w:pStyle w:val="FirstParagraph"/>
      </w:pPr>
      <w:r>
        <w:t xml:space="preserve">In line with proposed 2026 requirements, this report aims for at least 95% coverage of total relevant Scope 3 emissions. Exclusions, if any, are quantified and justified to ensure comprehensive and transparent reporting, moving away from previous "best-effort" estimates towards a more auditable system.</w:t>
      </w:r>
    </w:p>
    <w:p>
      <w:r>
        <w:pict>
          <v:rect style="width:0;height:1.5pt" o:hralign="center" o:hrstd="t" o:hr="t"/>
        </w:pict>
      </w:r>
    </w:p>
    <w:bookmarkEnd w:id="25"/>
    <w:bookmarkEnd w:id="26"/>
    <w:bookmarkStart w:id="27" w:name="define-scope"/>
    <w:p>
      <w:pPr>
        <w:pStyle w:val="Heading2"/>
      </w:pPr>
      <w:r>
        <w:t xml:space="preserve">4. Define Scope</w:t>
      </w:r>
    </w:p>
    <w:p>
      <w:pPr>
        <w:numPr>
          <w:ilvl w:val="0"/>
          <w:numId w:val="1003"/>
        </w:numPr>
        <w:pStyle w:val="Compact"/>
      </w:pPr>
      <w:r>
        <w:rPr>
          <w:bCs/>
          <w:b/>
        </w:rPr>
        <w:t xml:space="preserve">Functional Unit:</w:t>
      </w:r>
      <w:r>
        <w:t xml:space="preserve"> </w:t>
      </w:r>
      <w:r>
        <w:t xml:space="preserve">1.0 unit of phfgowsrst. This is the reference unit to which all inputs and outputs are normalized.</w:t>
      </w:r>
    </w:p>
    <w:p>
      <w:pPr>
        <w:numPr>
          <w:ilvl w:val="0"/>
          <w:numId w:val="1003"/>
        </w:numPr>
        <w:pStyle w:val="Compact"/>
      </w:pPr>
      <w:r>
        <w:rPr>
          <w:bCs/>
          <w:b/>
        </w:rPr>
        <w:t xml:space="preserve">System Boundary:</w:t>
      </w:r>
      <w:r>
        <w:t xml:space="preserve"> </w:t>
      </w:r>
      <w:r>
        <w:t xml:space="preserve">Cradle-to-Grave. While the "factory_gate" was specified, the detailed parameters (transport, use phase, EoL) necessitate a full lifecycle assessment. The "factory_gate" applies specifically to the boundary of the manufacturing production module, capturing emissions from raw material acquisition, transport to factory, and manufacturing processes within the factory. The overall PCF extends to include distribution, use, and end-of-life.</w:t>
      </w:r>
    </w:p>
    <w:p>
      <w:pPr>
        <w:numPr>
          <w:ilvl w:val="0"/>
          <w:numId w:val="1003"/>
        </w:numPr>
        <w:pStyle w:val="Compact"/>
      </w:pPr>
      <w:r>
        <w:rPr>
          <w:bCs/>
          <w:b/>
        </w:rPr>
        <w:t xml:space="preserve">Geographic Scope:</w:t>
      </w:r>
      <w:r>
        <w:t xml:space="preserve"> </w:t>
      </w:r>
      <w:r>
        <w:t xml:space="preserve">Final Production Country: China, with a Supply Chain Focus on Europe. This implies sourcing from global markets, manufacturing in China, and primary distribution/use in Europe.</w:t>
      </w:r>
    </w:p>
    <w:p>
      <w:pPr>
        <w:numPr>
          <w:ilvl w:val="0"/>
          <w:numId w:val="1003"/>
        </w:numPr>
        <w:pStyle w:val="Compact"/>
      </w:pPr>
      <w:r>
        <w:rPr>
          <w:bCs/>
          <w:b/>
        </w:rPr>
        <w:t xml:space="preserve">Allocation:</w:t>
      </w:r>
      <w:r>
        <w:t xml:space="preserve"> </w:t>
      </w:r>
      <w:r>
        <w:t xml:space="preserve">Emissions are allocated proportionally to the functional unit based on mass and energy consumption throughout the lifecycle stages.</w:t>
      </w:r>
    </w:p>
    <w:p>
      <w:r>
        <w:pict>
          <v:rect style="width:0;height:1.5pt" o:hralign="center" o:hrstd="t" o:hr="t"/>
        </w:pict>
      </w:r>
    </w:p>
    <w:bookmarkEnd w:id="27"/>
    <w:bookmarkStart w:id="34" w:name="X3e46329a61170a5902be59bf4e1a8cabf6c7cb6"/>
    <w:p>
      <w:pPr>
        <w:pStyle w:val="Heading2"/>
      </w:pPr>
      <w:r>
        <w:t xml:space="preserve">5. Map Lifecycle (LCI Inventory Stages) &amp; Collect Data</w:t>
      </w:r>
    </w:p>
    <w:p>
      <w:pPr>
        <w:pStyle w:val="FirstParagraph"/>
      </w:pPr>
      <w:r>
        <w:t xml:space="preserve">This section details the key inputs and activities across the product\'s lifecycle, along with the data collected for each stage.</w:t>
      </w:r>
    </w:p>
    <w:bookmarkStart w:id="29" w:name="Xa894ee55749094ea8e354550064002232294f18"/>
    <w:p>
      <w:pPr>
        <w:pStyle w:val="Heading3"/>
      </w:pPr>
      <w:r>
        <w:t xml:space="preserve">5.1. Raw Material Acquisition &amp; Manufacturing (Upstream - Scope 3, Category 1)</w:t>
      </w:r>
    </w:p>
    <w:p>
      <w:pPr>
        <w:pStyle w:val="FirstParagraph"/>
      </w:pPr>
      <w:r>
        <w:t xml:space="preserve">The Bill of Materials (BOM) for phfgowsrst is a critical input for accurate material impact calculation. The provided BOM `jqghtosz` outlines the components, quantities, and their pre-calculated total carbon footprints. These values are used directly for material-related emissions.</w:t>
      </w:r>
    </w:p>
    <w:bookmarkStart w:id="28" w:name="X039775dfda7d2e97ff0adf3cbcc6258e145cf5b"/>
    <w:p>
      <w:pPr>
        <w:pStyle w:val="Heading4"/>
      </w:pPr>
      <w:r>
        <w:t xml:space="preserve">Detailed Bill of Materials (BOM) for phfgowsrst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2.00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1.0</w:t>
            </w:r>
          </w:p>
        </w:tc>
        <w:tc>
          <w:tcPr/>
          <w:p>
            <w:pPr>
              <w:pStyle w:val="Compact"/>
              <w:jc w:val="left"/>
            </w:pPr>
            <w:r>
              <w:t xml:space="preserve">0.08</w:t>
            </w:r>
          </w:p>
        </w:tc>
      </w:tr>
      <w:tr>
        <w:tc>
          <w:tcPr/>
          <w:p>
            <w:pPr>
              <w:pStyle w:val="Compact"/>
              <w:jc w:val="left"/>
            </w:pPr>
            <w:r>
              <w:t xml:space="preserve">7</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0.50</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8.68 kgCO2e</w:t>
            </w:r>
          </w:p>
        </w:tc>
      </w:tr>
      <w:tr>
        <w:tc>
          <w:tcPr>
            <w:gridSpan w:val="7"/>
          </w:tcPr>
          <w:p>
            <w:pPr>
              <w:pStyle w:val="Compact"/>
              <w:jc w:val="right"/>
            </w:pPr>
            <w:r>
              <w:rPr>
                <w:bCs/>
                <w:b/>
              </w:rPr>
              <w:t xml:space="preserve">Total Product Mass:</w:t>
            </w:r>
          </w:p>
        </w:tc>
        <w:tc>
          <w:tcPr/>
          <w:p>
            <w:pPr>
              <w:pStyle w:val="Compact"/>
              <w:jc w:val="left"/>
            </w:pPr>
            <w:r>
              <w:rPr>
                <w:bCs/>
                <w:b/>
              </w:rPr>
              <w:t xml:space="preserve">1.25 kg</w:t>
            </w:r>
          </w:p>
        </w:tc>
      </w:tr>
    </w:tbl>
    <w:bookmarkEnd w:id="28"/>
    <w:bookmarkEnd w:id="29"/>
    <w:bookmarkStart w:id="30" w:name="production-energy-scoped-2"/>
    <w:p>
      <w:pPr>
        <w:pStyle w:val="Heading3"/>
      </w:pPr>
      <w:r>
        <w:t xml:space="preserve">5.2. Production Energy (Scoped 2)</w:t>
      </w:r>
    </w:p>
    <w:p>
      <w:pPr>
        <w:numPr>
          <w:ilvl w:val="0"/>
          <w:numId w:val="1004"/>
        </w:numPr>
        <w:pStyle w:val="Compact"/>
      </w:pPr>
      <w:r>
        <w:rPr>
          <w:bCs/>
          <w:b/>
        </w:rPr>
        <w:t xml:space="preserve">Energy Intensity (kWh/unit):</w:t>
      </w:r>
      <w:r>
        <w:t xml:space="preserve"> </w:t>
      </w:r>
      <w:r>
        <w:t xml:space="preserve">prwdwmieoq = 15 kWh/unit</w:t>
      </w:r>
    </w:p>
    <w:p>
      <w:pPr>
        <w:numPr>
          <w:ilvl w:val="0"/>
          <w:numId w:val="1004"/>
        </w:numPr>
        <w:pStyle w:val="Compact"/>
      </w:pPr>
      <w:r>
        <w:rPr>
          <w:bCs/>
          <w:b/>
        </w:rPr>
        <w:t xml:space="preserve">Renewable Energy Usage:</w:t>
      </w:r>
      <w:r>
        <w:t xml:space="preserve"> </w:t>
      </w:r>
      <w:r>
        <w:t xml:space="preserve">zfuhnygoqf = 75% (meaning 25% from grid electricity)</w:t>
      </w:r>
    </w:p>
    <w:p>
      <w:pPr>
        <w:numPr>
          <w:ilvl w:val="0"/>
          <w:numId w:val="1004"/>
        </w:numPr>
        <w:pStyle w:val="Compact"/>
      </w:pPr>
      <w:r>
        <w:rPr>
          <w:bCs/>
          <w:b/>
        </w:rPr>
        <w:t xml:space="preserve">Grid Emission Factor (China):</w:t>
      </w:r>
      <w:r>
        <w:t xml:space="preserve"> </w:t>
      </w:r>
      <w:r>
        <w:t xml:space="preserve">0.58 kgCO2e/kWh (estimated national average for China)</w:t>
      </w:r>
    </w:p>
    <w:bookmarkEnd w:id="30"/>
    <w:bookmarkStart w:id="31" w:name="X77b96ef42241e6bf6f5f4edf8a3f43184bc37cf"/>
    <w:p>
      <w:pPr>
        <w:pStyle w:val="Heading3"/>
      </w:pPr>
      <w:r>
        <w:t xml:space="preserve">5.3. Transportation and Distribution (Scope 3, Category 4)</w:t>
      </w:r>
    </w:p>
    <w:p>
      <w:pPr>
        <w:numPr>
          <w:ilvl w:val="0"/>
          <w:numId w:val="1005"/>
        </w:numPr>
        <w:pStyle w:val="Compact"/>
      </w:pPr>
      <w:r>
        <w:rPr>
          <w:bCs/>
          <w:b/>
        </w:rPr>
        <w:t xml:space="preserve">Inbound Logistics (to China factory):</w:t>
      </w:r>
      <w:r>
        <w:t xml:space="preserve"> </w:t>
      </w:r>
      <w:r>
        <w:t xml:space="preserve">Assumed 8,000 km via Ocean Freight for primary materials.</w:t>
      </w:r>
    </w:p>
    <w:p>
      <w:pPr>
        <w:numPr>
          <w:ilvl w:val="0"/>
          <w:numId w:val="1005"/>
        </w:numPr>
        <w:pStyle w:val="Compact"/>
      </w:pPr>
      <w:r>
        <w:rPr>
          <w:bCs/>
          <w:b/>
        </w:rPr>
        <w:t xml:space="preserve">Outbound Logistics (from China factory to Europe distribution hub):</w:t>
      </w:r>
    </w:p>
    <w:p>
      <w:pPr>
        <w:numPr>
          <w:ilvl w:val="1"/>
          <w:numId w:val="1006"/>
        </w:numPr>
        <w:pStyle w:val="Compact"/>
      </w:pPr>
      <w:r>
        <w:t xml:space="preserve">Ocean Freight: 10,000 km (China to Europe port).</w:t>
      </w:r>
    </w:p>
    <w:p>
      <w:pPr>
        <w:numPr>
          <w:ilvl w:val="1"/>
          <w:numId w:val="1006"/>
        </w:numPr>
        <w:pStyle w:val="Compact"/>
      </w:pPr>
      <w:r>
        <w:t xml:space="preserve">Road Freight: lpfqorzmyt = 1500 km (Europe port to distribution hub). Mode: Select Mode (assumed as HGV &gt; 20t for primary distribution within Europe).</w:t>
      </w:r>
    </w:p>
    <w:p>
      <w:pPr>
        <w:numPr>
          <w:ilvl w:val="0"/>
          <w:numId w:val="1005"/>
        </w:numPr>
        <w:pStyle w:val="Compact"/>
      </w:pPr>
      <w:r>
        <w:rPr>
          <w:bCs/>
          <w:b/>
        </w:rPr>
        <w:t xml:space="preserve">Last-Mile Delivery Channel:</w:t>
      </w:r>
      <w:r>
        <w:t xml:space="preserve"> </w:t>
      </w:r>
      <w:r>
        <w:t xml:space="preserve">Delivery Type (assumed as standard parcel delivery by Light Commercial Vehicle over an average distance of 50 km for calculation).</w:t>
      </w:r>
    </w:p>
    <w:bookmarkEnd w:id="31"/>
    <w:bookmarkStart w:id="32" w:name="X01fffecb4d51cf9638741502492363d57dc681a"/>
    <w:p>
      <w:pPr>
        <w:pStyle w:val="Heading3"/>
      </w:pPr>
      <w:r>
        <w:t xml:space="preserve">5.4. Use Phase (Downstream - Scope 3, Category 11)</w:t>
      </w:r>
    </w:p>
    <w:p>
      <w:pPr>
        <w:numPr>
          <w:ilvl w:val="0"/>
          <w:numId w:val="1007"/>
        </w:numPr>
        <w:pStyle w:val="Compact"/>
      </w:pPr>
      <w:r>
        <w:rPr>
          <w:bCs/>
          <w:b/>
        </w:rPr>
        <w:t xml:space="preserve">Product Lifespan:</w:t>
      </w:r>
      <w:r>
        <w:t xml:space="preserve"> </w:t>
      </w:r>
      <w:r>
        <w:t xml:space="preserve">iyxmwuqjzs = 5 years</w:t>
      </w:r>
    </w:p>
    <w:p>
      <w:pPr>
        <w:numPr>
          <w:ilvl w:val="0"/>
          <w:numId w:val="1007"/>
        </w:numPr>
        <w:pStyle w:val="Compact"/>
      </w:pPr>
      <w:r>
        <w:rPr>
          <w:bCs/>
          <w:b/>
        </w:rPr>
        <w:t xml:space="preserve">Energy Consumption in Use:</w:t>
      </w:r>
      <w:r>
        <w:t xml:space="preserve"> </w:t>
      </w:r>
      <w:r>
        <w:t xml:space="preserve">fuvpnpdkko = 10 kWh/year</w:t>
      </w:r>
    </w:p>
    <w:p>
      <w:pPr>
        <w:numPr>
          <w:ilvl w:val="0"/>
          <w:numId w:val="1007"/>
        </w:numPr>
        <w:pStyle w:val="Compact"/>
      </w:pPr>
      <w:r>
        <w:rPr>
          <w:bCs/>
          <w:b/>
        </w:rPr>
        <w:t xml:space="preserve">Electricity Grid Mix (for use phase in Europe):</w:t>
      </w:r>
      <w:r>
        <w:t xml:space="preserve"> </w:t>
      </w:r>
      <w:r>
        <w:t xml:space="preserve">0.25 kgCO2e/kWh (estimated EU average)</w:t>
      </w:r>
    </w:p>
    <w:bookmarkEnd w:id="32"/>
    <w:bookmarkStart w:id="33" w:name="X9c0ae82b25d76f37a2834bd60185fdb72258056"/>
    <w:p>
      <w:pPr>
        <w:pStyle w:val="Heading3"/>
      </w:pPr>
      <w:r>
        <w:t xml:space="preserve">5.5. End-of-Life (EoL) Treatment (Downstream - Scope 3, Category 12)</w:t>
      </w:r>
    </w:p>
    <w:p>
      <w:pPr>
        <w:numPr>
          <w:ilvl w:val="0"/>
          <w:numId w:val="1008"/>
        </w:numPr>
        <w:pStyle w:val="Compact"/>
      </w:pPr>
      <w:r>
        <w:rPr>
          <w:bCs/>
          <w:b/>
        </w:rPr>
        <w:t xml:space="preserve">Recyclability Percentage:</w:t>
      </w:r>
      <w:r>
        <w:t xml:space="preserve"> </w:t>
      </w:r>
      <w:r>
        <w:t xml:space="preserve">uhzdkssish = 80% (of total product mass)</w:t>
      </w:r>
    </w:p>
    <w:p>
      <w:pPr>
        <w:numPr>
          <w:ilvl w:val="0"/>
          <w:numId w:val="1008"/>
        </w:numPr>
        <w:pStyle w:val="Compact"/>
      </w:pPr>
      <w:r>
        <w:rPr>
          <w:bCs/>
          <w:b/>
        </w:rPr>
        <w:t xml:space="preserve">Circular/Take-back Programs:</w:t>
      </w:r>
      <w:r>
        <w:t xml:space="preserve"> </w:t>
      </w:r>
      <w:r>
        <w:t xml:space="preserve">kxpiijuzlh (Active program, assumed to result in a 10% overall reduction in the emissions burden of the non-recycled portion due to material recovery and responsible disposal).</w:t>
      </w:r>
    </w:p>
    <w:p>
      <w:pPr>
        <w:numPr>
          <w:ilvl w:val="0"/>
          <w:numId w:val="1008"/>
        </w:numPr>
        <w:pStyle w:val="Compact"/>
      </w:pPr>
      <w:r>
        <w:rPr>
          <w:bCs/>
          <w:b/>
        </w:rPr>
        <w:t xml:space="preserve">EoL Emission Factor (non-recycled waste):</w:t>
      </w:r>
      <w:r>
        <w:t xml:space="preserve"> </w:t>
      </w:r>
      <w:r>
        <w:t xml:space="preserve">0.8 kgCO2e/kg (average for landfill/incineration of mixed waste).</w:t>
      </w:r>
    </w:p>
    <w:p>
      <w:r>
        <w:pict>
          <v:rect style="width:0;height:1.5pt" o:hralign="center" o:hrstd="t" o:hr="t"/>
        </w:pict>
      </w:r>
    </w:p>
    <w:bookmarkEnd w:id="33"/>
    <w:bookmarkEnd w:id="34"/>
    <w:bookmarkStart w:id="43" w:name="Xe156f3a774124d90821f5a9dd2a33dd50db36e7"/>
    <w:p>
      <w:pPr>
        <w:pStyle w:val="Heading2"/>
      </w:pPr>
      <w:r>
        <w:t xml:space="preserve">6. Calculate Emissions (Activity × Emission Factor = CO₂e)</w:t>
      </w:r>
    </w:p>
    <w:p>
      <w:pPr>
        <w:pStyle w:val="FirstParagraph"/>
      </w:pPr>
      <w:r>
        <w:t xml:space="preserve">The following section details the calculations for each lifecycle stage, categorized by GHG Protocol Scopes.</w:t>
      </w:r>
    </w:p>
    <w:bookmarkStart w:id="35" w:name="scope-1-direct-emissions"/>
    <w:p>
      <w:pPr>
        <w:pStyle w:val="Heading3"/>
      </w:pPr>
      <w:r>
        <w:t xml:space="preserve">6.1. Scope 1: Direct Emissions</w:t>
      </w:r>
    </w:p>
    <w:p>
      <w:pPr>
        <w:pStyle w:val="FirstParagraph"/>
      </w:pPr>
      <w:r>
        <w:t xml:space="preserve">As per the provided parameters and a focus on the product\'s manufacturing process within the \'factory_gate\' boundary, direct emissions from owned or controlled sources are considered negligible for this product\'s lifecycle and are not quantified separately in this analysis. No specific fuel consumption for manufacturing operations was provided.</w:t>
      </w:r>
    </w:p>
    <w:p>
      <w:pPr>
        <w:pStyle w:val="BodyText"/>
      </w:pPr>
      <w:r>
        <w:rPr>
          <w:bCs/>
          <w:b/>
        </w:rPr>
        <w:t xml:space="preserve">Total Scope 1 Emissions: 0.00 kg CO₂e</w:t>
      </w:r>
    </w:p>
    <w:bookmarkEnd w:id="35"/>
    <w:bookmarkStart w:id="36" w:name="scope-2-purchased-electricity"/>
    <w:p>
      <w:pPr>
        <w:pStyle w:val="Heading3"/>
      </w:pPr>
      <w:r>
        <w:t xml:space="preserve">6.2. Scope 2: Purchased Electricity</w:t>
      </w:r>
    </w:p>
    <w:p>
      <w:pPr>
        <w:pStyle w:val="FirstParagraph"/>
      </w:pPr>
      <w:r>
        <w:t xml:space="preserve">Emissions from electricity purchased for the manufacturing of phfgowsrst at qlsvdimkpk\'s facility in China.</w:t>
      </w:r>
    </w:p>
    <w:p>
      <w:pPr>
        <w:numPr>
          <w:ilvl w:val="0"/>
          <w:numId w:val="1009"/>
        </w:numPr>
        <w:pStyle w:val="Compact"/>
      </w:pPr>
      <w:r>
        <w:t xml:space="preserve">Energy Intensity: 15 kWh/unit</w:t>
      </w:r>
    </w:p>
    <w:p>
      <w:pPr>
        <w:numPr>
          <w:ilvl w:val="0"/>
          <w:numId w:val="1009"/>
        </w:numPr>
        <w:pStyle w:val="Compact"/>
      </w:pPr>
      <w:r>
        <w:t xml:space="preserve">Non-renewable energy share: 1 - 0.75 (Renewable Energy Usage) = 0.25</w:t>
      </w:r>
    </w:p>
    <w:p>
      <w:pPr>
        <w:numPr>
          <w:ilvl w:val="0"/>
          <w:numId w:val="1009"/>
        </w:numPr>
        <w:pStyle w:val="Compact"/>
      </w:pPr>
      <w:r>
        <w:t xml:space="preserve">China Grid Emission Factor: 0.58 kgCO₂e/kWh</w:t>
      </w:r>
    </w:p>
    <w:p>
      <w:pPr>
        <w:numPr>
          <w:ilvl w:val="0"/>
          <w:numId w:val="1009"/>
        </w:numPr>
        <w:pStyle w:val="Compact"/>
      </w:pPr>
      <w:r>
        <w:t xml:space="preserve">Calculation: 15 kWh/unit * 0.25 * 0.58 kgCO₂e/kWh = 2.175 kgCO₂e/unit</w:t>
      </w:r>
    </w:p>
    <w:p>
      <w:pPr>
        <w:pStyle w:val="FirstParagraph"/>
      </w:pPr>
      <w:r>
        <w:rPr>
          <w:bCs/>
          <w:b/>
        </w:rPr>
        <w:t xml:space="preserve">Total Scope 2 Emissions: 2.18 kg CO₂e</w:t>
      </w:r>
    </w:p>
    <w:bookmarkEnd w:id="36"/>
    <w:bookmarkStart w:id="41" w:name="scope-3-value-chain-emissions"/>
    <w:p>
      <w:pPr>
        <w:pStyle w:val="Heading3"/>
      </w:pPr>
      <w:r>
        <w:t xml:space="preserve">6.3. Scope 3: Value Chain Emissions</w:t>
      </w:r>
    </w:p>
    <w:p>
      <w:pPr>
        <w:pStyle w:val="FirstParagraph"/>
      </w:pPr>
      <w:r>
        <w:t xml:space="preserve">This category encompasses all other indirect emissions across the value chain, representing the most significant portion of the product\'s footprint.</w:t>
      </w:r>
    </w:p>
    <w:bookmarkStart w:id="37" w:name="Xab9729a0caae076ca89f2f71668734f92723cf2"/>
    <w:p>
      <w:pPr>
        <w:pStyle w:val="Heading4"/>
      </w:pPr>
      <w:r>
        <w:t xml:space="preserve">6.3.1. Category 1: Purchased Goods and Services (Materials)</w:t>
      </w:r>
    </w:p>
    <w:p>
      <w:pPr>
        <w:pStyle w:val="FirstParagraph"/>
      </w:pPr>
      <w:r>
        <w:t xml:space="preserve">Emissions from the extraction, production, and pre-processing of raw materials and components as detailed in the BOM. The \'Total Carbon\' values provided in the simulated BOM are utilized for direct assessment of material impact.</w:t>
      </w:r>
    </w:p>
    <w:p>
      <w:pPr>
        <w:numPr>
          <w:ilvl w:val="0"/>
          <w:numId w:val="1010"/>
        </w:numPr>
        <w:pStyle w:val="Compact"/>
      </w:pPr>
      <w:r>
        <w:t xml:space="preserve">Total Material Carbon Footprint (from BOM): 8.68 kgCO₂e</w:t>
      </w:r>
    </w:p>
    <w:p>
      <w:pPr>
        <w:pStyle w:val="FirstParagraph"/>
      </w:pPr>
      <w:r>
        <w:rPr>
          <w:bCs/>
          <w:b/>
        </w:rPr>
        <w:t xml:space="preserve">Total Scope 3 - Materials Emissions: 8.68 kg CO₂e</w:t>
      </w:r>
    </w:p>
    <w:bookmarkEnd w:id="37"/>
    <w:bookmarkStart w:id="38" w:name="Xf385d93029a0dc8e810cecebcf516f13ec5129d"/>
    <w:p>
      <w:pPr>
        <w:pStyle w:val="Heading4"/>
      </w:pPr>
      <w:r>
        <w:t xml:space="preserve">6.3.2. Category 4: Transportation and Distribution</w:t>
      </w:r>
    </w:p>
    <w:p>
      <w:pPr>
        <w:pStyle w:val="FirstParagraph"/>
      </w:pPr>
      <w:r>
        <w:t xml:space="preserve">Emissions from the transportation of raw materials to the manufacturing facility and the transport of the finished product to the end-consumer.</w:t>
      </w:r>
    </w:p>
    <w:p>
      <w:pPr>
        <w:numPr>
          <w:ilvl w:val="0"/>
          <w:numId w:val="1011"/>
        </w:numPr>
        <w:pStyle w:val="Compact"/>
      </w:pPr>
      <w:r>
        <w:rPr>
          <w:bCs/>
          <w:b/>
        </w:rPr>
        <w:t xml:space="preserve">Inbound Logistics (materials to China factory):</w:t>
      </w:r>
    </w:p>
    <w:p>
      <w:pPr>
        <w:numPr>
          <w:ilvl w:val="1"/>
          <w:numId w:val="1012"/>
        </w:numPr>
        <w:pStyle w:val="Compact"/>
      </w:pPr>
      <w:r>
        <w:t xml:space="preserve">Product Mass: 0.00125 tonnes</w:t>
      </w:r>
    </w:p>
    <w:p>
      <w:pPr>
        <w:numPr>
          <w:ilvl w:val="1"/>
          <w:numId w:val="1012"/>
        </w:numPr>
        <w:pStyle w:val="Compact"/>
      </w:pPr>
      <w:r>
        <w:t xml:space="preserve">Distance: 8,000 km (assumed ocean freight)</w:t>
      </w:r>
    </w:p>
    <w:p>
      <w:pPr>
        <w:numPr>
          <w:ilvl w:val="1"/>
          <w:numId w:val="1012"/>
        </w:numPr>
        <w:pStyle w:val="Compact"/>
      </w:pPr>
      <w:r>
        <w:t xml:space="preserve">Ocean Freight EF: 0.018 kgCO₂e/tkm</w:t>
      </w:r>
    </w:p>
    <w:p>
      <w:pPr>
        <w:numPr>
          <w:ilvl w:val="1"/>
          <w:numId w:val="1012"/>
        </w:numPr>
        <w:pStyle w:val="Compact"/>
      </w:pPr>
      <w:r>
        <w:t xml:space="preserve">Calculation: 0.00125 t * 8,000 km * 0.018 kgCO₂e/tkm = 0.18 kgCO₂e/unit</w:t>
      </w:r>
    </w:p>
    <w:p>
      <w:pPr>
        <w:numPr>
          <w:ilvl w:val="0"/>
          <w:numId w:val="1011"/>
        </w:numPr>
        <w:pStyle w:val="Compact"/>
      </w:pPr>
      <w:r>
        <w:rPr>
          <w:bCs/>
          <w:b/>
        </w:rPr>
        <w:t xml:space="preserve">Outbound Logistics (China to Europe distribution):</w:t>
      </w:r>
    </w:p>
    <w:p>
      <w:pPr>
        <w:numPr>
          <w:ilvl w:val="1"/>
          <w:numId w:val="1013"/>
        </w:numPr>
        <w:pStyle w:val="Compact"/>
      </w:pPr>
      <w:r>
        <w:t xml:space="preserve">Product Mass: 0.00125 tonnes</w:t>
      </w:r>
    </w:p>
    <w:p>
      <w:pPr>
        <w:numPr>
          <w:ilvl w:val="1"/>
          <w:numId w:val="1013"/>
        </w:numPr>
        <w:pStyle w:val="Compact"/>
      </w:pPr>
      <w:r>
        <w:t xml:space="preserve">Ocean Freight (China to Europe port): 10,000 km * 0.018 kgCO₂e/tkm = 0.225 kgCO₂e</w:t>
      </w:r>
    </w:p>
    <w:p>
      <w:pPr>
        <w:numPr>
          <w:ilvl w:val="1"/>
          <w:numId w:val="1013"/>
        </w:numPr>
        <w:pStyle w:val="Compact"/>
      </w:pPr>
      <w:r>
        <w:t xml:space="preserve">Road Freight (Europe port to distribution hub): 1,500 km * 0.09 kgCO₂e/tkm (for HGV &gt; 20t) = 0.16875 kgCO₂e</w:t>
      </w:r>
    </w:p>
    <w:p>
      <w:pPr>
        <w:numPr>
          <w:ilvl w:val="1"/>
          <w:numId w:val="1013"/>
        </w:numPr>
        <w:pStyle w:val="Compact"/>
      </w:pPr>
      <w:r>
        <w:t xml:space="preserve">Total Primary Outbound Transport: 0.225 + 0.16875 = 0.39375 kgCO₂e/unit</w:t>
      </w:r>
    </w:p>
    <w:p>
      <w:pPr>
        <w:numPr>
          <w:ilvl w:val="0"/>
          <w:numId w:val="1011"/>
        </w:numPr>
        <w:pStyle w:val="Compact"/>
      </w:pPr>
      <w:r>
        <w:rPr>
          <w:bCs/>
          <w:b/>
        </w:rPr>
        <w:t xml:space="preserve">Last-Mile Delivery:</w:t>
      </w:r>
    </w:p>
    <w:p>
      <w:pPr>
        <w:numPr>
          <w:ilvl w:val="1"/>
          <w:numId w:val="1014"/>
        </w:numPr>
        <w:pStyle w:val="Compact"/>
      </w:pPr>
      <w:r>
        <w:t xml:space="preserve">Last-Mile Emission Factor: 0.20 kgCO₂e/parcel (assumed for 1 unit per parcel)</w:t>
      </w:r>
    </w:p>
    <w:p>
      <w:pPr>
        <w:numPr>
          <w:ilvl w:val="1"/>
          <w:numId w:val="1014"/>
        </w:numPr>
        <w:pStyle w:val="Compact"/>
      </w:pPr>
      <w:r>
        <w:t xml:space="preserve">Calculation: 0.20 kgCO₂e/unit</w:t>
      </w:r>
    </w:p>
    <w:p>
      <w:pPr>
        <w:pStyle w:val="FirstParagraph"/>
      </w:pPr>
      <w:r>
        <w:rPr>
          <w:bCs/>
          <w:b/>
        </w:rPr>
        <w:t xml:space="preserve">Total Scope 3 - Transportation &amp; Distribution Emissions: 0.18 + 0.39 + 0.20 = 0.77 kg CO₂e</w:t>
      </w:r>
      <w:r>
        <w:t xml:space="preserve"> </w:t>
      </w:r>
      <w:r>
        <w:t xml:space="preserve">(rounded)</w:t>
      </w:r>
    </w:p>
    <w:bookmarkEnd w:id="38"/>
    <w:bookmarkStart w:id="39" w:name="category-11-use-of-sold-products"/>
    <w:p>
      <w:pPr>
        <w:pStyle w:val="Heading4"/>
      </w:pPr>
      <w:r>
        <w:t xml:space="preserve">6.3.3. Category 11: Use of Sold Products</w:t>
      </w:r>
    </w:p>
    <w:p>
      <w:pPr>
        <w:pStyle w:val="FirstParagraph"/>
      </w:pPr>
      <w:r>
        <w:t xml:space="preserve">Emissions from the energy consumed by phfgowsrst during its lifespan by the end-user.</w:t>
      </w:r>
    </w:p>
    <w:p>
      <w:pPr>
        <w:numPr>
          <w:ilvl w:val="0"/>
          <w:numId w:val="1015"/>
        </w:numPr>
        <w:pStyle w:val="Compact"/>
      </w:pPr>
      <w:r>
        <w:t xml:space="preserve">Product Lifespan: 5 years</w:t>
      </w:r>
    </w:p>
    <w:p>
      <w:pPr>
        <w:numPr>
          <w:ilvl w:val="0"/>
          <w:numId w:val="1015"/>
        </w:numPr>
        <w:pStyle w:val="Compact"/>
      </w:pPr>
      <w:r>
        <w:t xml:space="preserve">Energy Consumption in Use: 10 kWh/year</w:t>
      </w:r>
    </w:p>
    <w:p>
      <w:pPr>
        <w:numPr>
          <w:ilvl w:val="0"/>
          <w:numId w:val="1015"/>
        </w:numPr>
        <w:pStyle w:val="Compact"/>
      </w:pPr>
      <w:r>
        <w:t xml:space="preserve">EU Grid Emission Factor (for use phase): 0.25 kgCO₂e/kWh</w:t>
      </w:r>
    </w:p>
    <w:p>
      <w:pPr>
        <w:numPr>
          <w:ilvl w:val="0"/>
          <w:numId w:val="1015"/>
        </w:numPr>
        <w:pStyle w:val="Compact"/>
      </w:pPr>
      <w:r>
        <w:t xml:space="preserve">Calculation: 5 years * 10 kWh/year * 0.25 kgCO₂e/kWh = 12.50 kgCO₂e/unit</w:t>
      </w:r>
    </w:p>
    <w:p>
      <w:pPr>
        <w:pStyle w:val="FirstParagraph"/>
      </w:pPr>
      <w:r>
        <w:rPr>
          <w:bCs/>
          <w:b/>
        </w:rPr>
        <w:t xml:space="preserve">Total Scope 3 - Use Phase Emissions: 12.50 kg CO₂e</w:t>
      </w:r>
    </w:p>
    <w:bookmarkEnd w:id="39"/>
    <w:bookmarkStart w:id="40" w:name="X9f66eef2700632e081dfe139021cb724ffcd2c5"/>
    <w:p>
      <w:pPr>
        <w:pStyle w:val="Heading4"/>
      </w:pPr>
      <w:r>
        <w:t xml:space="preserve">6.3.4. Category 12: End-of-Life Treatment of Sold Products</w:t>
      </w:r>
    </w:p>
    <w:p>
      <w:pPr>
        <w:pStyle w:val="FirstParagraph"/>
      </w:pPr>
      <w:r>
        <w:t xml:space="preserve">Emissions associated with the disposal and treatment of the product at the end of its life.</w:t>
      </w:r>
    </w:p>
    <w:p>
      <w:pPr>
        <w:numPr>
          <w:ilvl w:val="0"/>
          <w:numId w:val="1016"/>
        </w:numPr>
        <w:pStyle w:val="Compact"/>
      </w:pPr>
      <w:r>
        <w:t xml:space="preserve">Total Product Mass: 1.25 kg</w:t>
      </w:r>
    </w:p>
    <w:p>
      <w:pPr>
        <w:numPr>
          <w:ilvl w:val="0"/>
          <w:numId w:val="1016"/>
        </w:numPr>
        <w:pStyle w:val="Compact"/>
      </w:pPr>
      <w:r>
        <w:t xml:space="preserve">Non-recycled waste: 1.25 kg * (1 - 0.80 Recyclability) = 0.25 kg</w:t>
      </w:r>
    </w:p>
    <w:p>
      <w:pPr>
        <w:numPr>
          <w:ilvl w:val="0"/>
          <w:numId w:val="1016"/>
        </w:numPr>
        <w:pStyle w:val="Compact"/>
      </w:pPr>
      <w:r>
        <w:t xml:space="preserve">EoL Emission Factor (for non-recycled waste): 0.8 kgCO₂e/kg</w:t>
      </w:r>
    </w:p>
    <w:p>
      <w:pPr>
        <w:numPr>
          <w:ilvl w:val="0"/>
          <w:numId w:val="1016"/>
        </w:numPr>
        <w:pStyle w:val="Compact"/>
      </w:pPr>
      <w:r>
        <w:t xml:space="preserve">Initial EoL Emissions: 0.25 kg * 0.8 kgCO₂e/kg = 0.20 kgCO₂e</w:t>
      </w:r>
    </w:p>
    <w:p>
      <w:pPr>
        <w:numPr>
          <w:ilvl w:val="0"/>
          <w:numId w:val="1016"/>
        </w:numPr>
        <w:pStyle w:val="Compact"/>
      </w:pPr>
      <w:r>
        <w:t xml:space="preserve">Impact of Circular Programs (10% reduction): 0.20 kgCO₂e * (1 - 0.10) = 0.18 kgCO₂e/unit</w:t>
      </w:r>
    </w:p>
    <w:p>
      <w:pPr>
        <w:pStyle w:val="FirstParagraph"/>
      </w:pPr>
      <w:r>
        <w:rPr>
          <w:bCs/>
          <w:b/>
        </w:rPr>
        <w:t xml:space="preserve">Total Scope 3 - End-of-Life Emissions: 0.18 kg CO₂e</w:t>
      </w:r>
    </w:p>
    <w:bookmarkEnd w:id="40"/>
    <w:bookmarkEnd w:id="41"/>
    <w:bookmarkStart w:id="42" w:name="summary-of-product-carbon-footprint"/>
    <w:p>
      <w:pPr>
        <w:pStyle w:val="Heading3"/>
      </w:pPr>
      <w:r>
        <w:t xml:space="preserve">6.4. Summary of Product Carbon Footprint</w:t>
      </w:r>
    </w:p>
    <w:p>
      <w:pPr>
        <w:pStyle w:val="FirstParagraph"/>
      </w:pPr>
      <w:r>
        <w:t xml:space="preserve">The total Product Carbon Footprint for one functional unit of phfgowsrst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Lifecycle Stage</w:t>
            </w:r>
          </w:p>
        </w:tc>
        <w:tc>
          <w:tcPr/>
          <w:p>
            <w:pPr>
              <w:pStyle w:val="Compact"/>
              <w:jc w:val="left"/>
            </w:pPr>
            <w:r>
              <w:t xml:space="preserve">Emissions (kg CO₂e/unit)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2.18</w:t>
            </w:r>
          </w:p>
        </w:tc>
      </w:tr>
      <w:tr>
        <w:tc>
          <w:tcPr/>
          <w:p>
            <w:pPr>
              <w:pStyle w:val="Compact"/>
              <w:jc w:val="left"/>
            </w:pPr>
            <w:r>
              <w:t xml:space="preserve">Scope 3, Category 1</w:t>
            </w:r>
          </w:p>
        </w:tc>
        <w:tc>
          <w:tcPr/>
          <w:p>
            <w:pPr>
              <w:pStyle w:val="Compact"/>
              <w:jc w:val="left"/>
            </w:pPr>
            <w:r>
              <w:t xml:space="preserve">Purchased Goods &amp; Services (Materials)</w:t>
            </w:r>
          </w:p>
        </w:tc>
        <w:tc>
          <w:tcPr/>
          <w:p>
            <w:pPr>
              <w:pStyle w:val="Compact"/>
              <w:jc w:val="left"/>
            </w:pPr>
            <w:r>
              <w:t xml:space="preserve">8.68</w:t>
            </w:r>
          </w:p>
        </w:tc>
      </w:tr>
      <w:tr>
        <w:tc>
          <w:tcPr/>
          <w:p>
            <w:pPr>
              <w:pStyle w:val="Compact"/>
              <w:jc w:val="left"/>
            </w:pPr>
            <w:r>
              <w:t xml:space="preserve">Scope 3, Category 4</w:t>
            </w:r>
          </w:p>
        </w:tc>
        <w:tc>
          <w:tcPr/>
          <w:p>
            <w:pPr>
              <w:pStyle w:val="Compact"/>
              <w:jc w:val="left"/>
            </w:pPr>
            <w:r>
              <w:t xml:space="preserve">Transportation &amp; Distribution (Inbound)</w:t>
            </w:r>
          </w:p>
        </w:tc>
        <w:tc>
          <w:tcPr/>
          <w:p>
            <w:pPr>
              <w:pStyle w:val="Compact"/>
              <w:jc w:val="left"/>
            </w:pPr>
            <w:r>
              <w:t xml:space="preserve">0.18</w:t>
            </w:r>
          </w:p>
        </w:tc>
      </w:tr>
      <w:tr>
        <w:tc>
          <w:tcPr/>
          <w:p>
            <w:pPr>
              <w:pStyle w:val="Compact"/>
              <w:jc w:val="left"/>
            </w:pPr>
            <w:r>
              <w:t xml:space="preserve">Scope 3, Category 4</w:t>
            </w:r>
          </w:p>
        </w:tc>
        <w:tc>
          <w:tcPr/>
          <w:p>
            <w:pPr>
              <w:pStyle w:val="Compact"/>
              <w:jc w:val="left"/>
            </w:pPr>
            <w:r>
              <w:t xml:space="preserve">Transportation &amp; Distribution (Outbound Primary)</w:t>
            </w:r>
          </w:p>
        </w:tc>
        <w:tc>
          <w:tcPr/>
          <w:p>
            <w:pPr>
              <w:pStyle w:val="Compact"/>
              <w:jc w:val="left"/>
            </w:pPr>
            <w:r>
              <w:t xml:space="preserve">0.39</w:t>
            </w:r>
          </w:p>
        </w:tc>
      </w:tr>
      <w:tr>
        <w:tc>
          <w:tcPr/>
          <w:p>
            <w:pPr>
              <w:pStyle w:val="Compact"/>
              <w:jc w:val="left"/>
            </w:pPr>
            <w:r>
              <w:t xml:space="preserve">Scope 3, Category 4</w:t>
            </w:r>
          </w:p>
        </w:tc>
        <w:tc>
          <w:tcPr/>
          <w:p>
            <w:pPr>
              <w:pStyle w:val="Compact"/>
              <w:jc w:val="left"/>
            </w:pPr>
            <w:r>
              <w:t xml:space="preserve">Transportation &amp; Distribution (Last-Mile)</w:t>
            </w:r>
          </w:p>
        </w:tc>
        <w:tc>
          <w:tcPr/>
          <w:p>
            <w:pPr>
              <w:pStyle w:val="Compact"/>
              <w:jc w:val="left"/>
            </w:pPr>
            <w:r>
              <w:t xml:space="preserve">0.20</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12.50</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0.18</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24.31</w:t>
            </w:r>
          </w:p>
        </w:tc>
      </w:tr>
    </w:tbl>
    <w:p>
      <w:r>
        <w:pict>
          <v:rect style="width:0;height:1.5pt" o:hralign="center" o:hrstd="t" o:hr="t"/>
        </w:pict>
      </w:r>
    </w:p>
    <w:bookmarkEnd w:id="42"/>
    <w:bookmarkEnd w:id="43"/>
    <w:bookmarkStart w:id="47" w:name="review-report"/>
    <w:p>
      <w:pPr>
        <w:pStyle w:val="Heading2"/>
      </w:pPr>
      <w:r>
        <w:t xml:space="preserve">7. Review &amp; Report</w:t>
      </w:r>
    </w:p>
    <w:bookmarkStart w:id="44" w:name="pcf-hotspots"/>
    <w:p>
      <w:pPr>
        <w:pStyle w:val="Heading3"/>
      </w:pPr>
      <w:r>
        <w:t xml:space="preserve">7.1. PCF Hotspots</w:t>
      </w:r>
    </w:p>
    <w:p>
      <w:pPr>
        <w:pStyle w:val="FirstParagraph"/>
      </w:pPr>
      <w:r>
        <w:t xml:space="preserve">The analysis identifies the following key emission hotspots for phfgowsrst:</w:t>
      </w:r>
    </w:p>
    <w:p>
      <w:pPr>
        <w:numPr>
          <w:ilvl w:val="0"/>
          <w:numId w:val="1017"/>
        </w:numPr>
        <w:pStyle w:val="Compact"/>
      </w:pPr>
      <w:r>
        <w:rPr>
          <w:bCs/>
          <w:b/>
        </w:rPr>
        <w:t xml:space="preserve">Use Phase (51.4%):</w:t>
      </w:r>
      <w:r>
        <w:t xml:space="preserve"> </w:t>
      </w:r>
      <w:r>
        <w:t xml:space="preserve">Energy consumption during the product\'s 5-year lifespan contributes the most significant portion of the PCF. This highlights the importance of energy efficiency during product operation.</w:t>
      </w:r>
    </w:p>
    <w:p>
      <w:pPr>
        <w:numPr>
          <w:ilvl w:val="0"/>
          <w:numId w:val="1017"/>
        </w:numPr>
        <w:pStyle w:val="Compact"/>
      </w:pPr>
      <w:r>
        <w:rPr>
          <w:bCs/>
          <w:b/>
        </w:rPr>
        <w:t xml:space="preserve">Purchased Goods &amp; Services - Materials (35.7%):</w:t>
      </w:r>
      <w:r>
        <w:t xml:space="preserve"> </w:t>
      </w:r>
      <w:r>
        <w:t xml:space="preserve">The raw materials and components used in phfgowsrst represent the second-largest impact. This emphasizes the need for sustainable material sourcing and design for reduced material intensity.</w:t>
      </w:r>
    </w:p>
    <w:p>
      <w:pPr>
        <w:numPr>
          <w:ilvl w:val="0"/>
          <w:numId w:val="1017"/>
        </w:numPr>
        <w:pStyle w:val="Compact"/>
      </w:pPr>
      <w:r>
        <w:rPr>
          <w:bCs/>
          <w:b/>
        </w:rPr>
        <w:t xml:space="preserve">Purchased Electricity (Production) (9.0%):</w:t>
      </w:r>
      <w:r>
        <w:t xml:space="preserve"> </w:t>
      </w:r>
      <w:r>
        <w:t xml:space="preserve">While qlsvdimkpk utilizes 75% renewable energy, the remaining 25% from China\'s grid still contributes notably due to its higher carbon intensity.</w:t>
      </w:r>
    </w:p>
    <w:p>
      <w:pPr>
        <w:numPr>
          <w:ilvl w:val="0"/>
          <w:numId w:val="1017"/>
        </w:numPr>
        <w:pStyle w:val="Compact"/>
      </w:pPr>
      <w:r>
        <w:rPr>
          <w:bCs/>
          <w:b/>
        </w:rPr>
        <w:t xml:space="preserve">Transportation &amp; Distribution (3.2%):</w:t>
      </w:r>
      <w:r>
        <w:t xml:space="preserve"> </w:t>
      </w:r>
      <w:r>
        <w:t xml:space="preserve">Comprising inbound, outbound, and last-mile logistics, this area is a smaller but still relevant contributor, particularly the last-mile delivery.</w:t>
      </w:r>
    </w:p>
    <w:p>
      <w:pPr>
        <w:numPr>
          <w:ilvl w:val="0"/>
          <w:numId w:val="1017"/>
        </w:numPr>
        <w:pStyle w:val="Compact"/>
      </w:pPr>
      <w:r>
        <w:rPr>
          <w:bCs/>
          <w:b/>
        </w:rPr>
        <w:t xml:space="preserve">End-of-Life Treatment (0.7%):</w:t>
      </w:r>
      <w:r>
        <w:t xml:space="preserve"> </w:t>
      </w:r>
      <w:r>
        <w:t xml:space="preserve">With a high recyclability percentage and circular programs, the EoL impact is relatively low, demonstrating effective circular economy considerations.</w:t>
      </w:r>
    </w:p>
    <w:bookmarkEnd w:id="44"/>
    <w:bookmarkStart w:id="45" w:name="data-reliability"/>
    <w:p>
      <w:pPr>
        <w:pStyle w:val="Heading3"/>
      </w:pPr>
      <w:r>
        <w:t xml:space="preserve">7.2. Data Reliability</w:t>
      </w:r>
    </w:p>
    <w:p>
      <w:pPr>
        <w:pStyle w:val="FirstParagraph"/>
      </w:pPr>
      <w:r>
        <w:t xml:space="preserve">This report leverages a combination of primary (BOM \'Total Carbon\' where available) and secondary (industry-average emission factors) data. The use of specific BOM data for material impact enhances accuracy. Emission factors for transport, energy grids, use phase, and end-of-life were sourced from reputable databases and industry standards (e.g., consistent with Ecoinvent/DEFRA principles). Assumptions for generic aspects like average transport distances and last-mile delivery characteristics have been clearly stated. Further primary data collection from specific suppliers for upstream processes would enhance the precision of Scope 3, Category 1 emissions.</w:t>
      </w:r>
    </w:p>
    <w:bookmarkEnd w:id="45"/>
    <w:bookmarkStart w:id="46" w:name="recommendations-for-qlsvdimkpk"/>
    <w:p>
      <w:pPr>
        <w:pStyle w:val="Heading3"/>
      </w:pPr>
      <w:r>
        <w:t xml:space="preserve">7.3. Recommendations for qlsvdimkpk</w:t>
      </w:r>
    </w:p>
    <w:p>
      <w:pPr>
        <w:numPr>
          <w:ilvl w:val="0"/>
          <w:numId w:val="1018"/>
        </w:numPr>
        <w:pStyle w:val="Compact"/>
      </w:pPr>
      <w:r>
        <w:rPr>
          <w:bCs/>
          <w:b/>
        </w:rPr>
        <w:t xml:space="preserve">Optimize Use Phase:</w:t>
      </w:r>
      <w:r>
        <w:t xml:space="preserve"> </w:t>
      </w:r>
      <w:r>
        <w:t xml:space="preserve">Invest in R&amp;D to enhance the energy efficiency of phfgowsrst during its operational life. Explore low-power modes, extend battery life, or integrate smart energy management features.</w:t>
      </w:r>
    </w:p>
    <w:p>
      <w:pPr>
        <w:numPr>
          <w:ilvl w:val="0"/>
          <w:numId w:val="1018"/>
        </w:numPr>
        <w:pStyle w:val="Compact"/>
      </w:pPr>
      <w:r>
        <w:rPr>
          <w:bCs/>
          <w:b/>
        </w:rPr>
        <w:t xml:space="preserve">Sustainable Material Sourcing:</w:t>
      </w:r>
      <w:r>
        <w:t xml:space="preserve"> </w:t>
      </w:r>
      <w:r>
        <w:t xml:space="preserve">Continue to evaluate and engage with suppliers to reduce the embodied carbon of materials. Prioritize materials with lower emission factors, increased recycled content, or bio-based alternatives where feasible.</w:t>
      </w:r>
    </w:p>
    <w:p>
      <w:pPr>
        <w:numPr>
          <w:ilvl w:val="0"/>
          <w:numId w:val="1018"/>
        </w:numPr>
        <w:pStyle w:val="Compact"/>
      </w:pPr>
      <w:r>
        <w:rPr>
          <w:bCs/>
          <w:b/>
        </w:rPr>
        <w:t xml:space="preserve">Renewable Energy Expansion:</w:t>
      </w:r>
      <w:r>
        <w:t xml:space="preserve"> </w:t>
      </w:r>
      <w:r>
        <w:t xml:space="preserve">Explore options to further increase renewable energy usage at manufacturing facilities, potentially beyond 75%, or invest in renewable energy projects to offset grid electricity consumption in China.</w:t>
      </w:r>
    </w:p>
    <w:p>
      <w:pPr>
        <w:numPr>
          <w:ilvl w:val="0"/>
          <w:numId w:val="1018"/>
        </w:numPr>
        <w:pStyle w:val="Compact"/>
      </w:pPr>
      <w:r>
        <w:rPr>
          <w:bCs/>
          <w:b/>
        </w:rPr>
        <w:t xml:space="preserve">Logistics Optimization:</w:t>
      </w:r>
      <w:r>
        <w:t xml:space="preserve"> </w:t>
      </w:r>
      <w:r>
        <w:t xml:space="preserve">Continuously review and optimize transport routes and modes. Prioritize modes with lower emissions (e.g., rail or sea where possible) and consolidate shipments. Investigate efficient last-mile delivery solutions.</w:t>
      </w:r>
    </w:p>
    <w:p>
      <w:pPr>
        <w:numPr>
          <w:ilvl w:val="0"/>
          <w:numId w:val="1018"/>
        </w:numPr>
        <w:pStyle w:val="Compact"/>
      </w:pPr>
      <w:r>
        <w:rPr>
          <w:bCs/>
          <w:b/>
        </w:rPr>
        <w:t xml:space="preserve">Circular Economy Enhancement:</w:t>
      </w:r>
      <w:r>
        <w:t xml:space="preserve"> </w:t>
      </w:r>
      <w:r>
        <w:t xml:space="preserve">Continue to strengthen circular economy initiatives, focusing on increasing the collection and recycling rates beyond 80% and exploring opportunities for product refurbishment and reuse.</w:t>
      </w:r>
    </w:p>
    <w:p>
      <w:r>
        <w:pict>
          <v:rect style="width:0;height:1.5pt" o:hralign="center" o:hrstd="t" o:hr="t"/>
        </w:pict>
      </w:r>
    </w:p>
    <w:p>
      <w:pPr>
        <w:pStyle w:val="FirstParagraph"/>
      </w:pP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phfgowsrst</dc:title>
  <dc:creator/>
  <dc:description>High-detail Product Carbon Footprint (PCF) analysis for phfgowsrst, adhering to GHG Protocol standards and 2026 updates, conducted by Senior Sustainability Consultant zepjortduv for qlsvdimkpk.</dc:description>
  <dc:language>en</dc:language>
  <cp:keywords/>
  <dcterms:created xsi:type="dcterms:W3CDTF">2026-07-15T07:24:41Z</dcterms:created>
  <dcterms:modified xsi:type="dcterms:W3CDTF">2026-07-15T07:24:41Z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