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pfzhpssddn</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pfzhpssddn</w:t>
      </w:r>
    </w:p>
    <w:p>
      <w:pPr>
        <w:pStyle w:val="BodyText"/>
      </w:pPr>
      <w:r>
        <w:rPr>
          <w:bCs/>
          <w:b/>
        </w:rPr>
        <w:t xml:space="preserve">Company:</w:t>
      </w:r>
      <w:r>
        <w:t xml:space="preserve"> </w:t>
      </w:r>
      <w:r>
        <w:t xml:space="preserve">owxndkvufr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yzousodrhk</w:t>
      </w:r>
    </w:p>
    <w:p>
      <w:pPr>
        <w:pStyle w:val="BodyText"/>
      </w:pPr>
      <w:r>
        <w:t xml:space="preserve">This report is generated based on available data and industry standards. While efforts have been made to ensure accuracy based on the provided parameters and assumed industry averages, a definitive assessment would require primary data collection and more detailed process information. The string placeholders provided in the request have been interpreted as labels, and illustrative data has been synthesized where concrete values were required for calculations.</w:t>
      </w:r>
    </w:p>
    <w:bookmarkEnd w:id="20"/>
    <w:p>
      <w:pPr>
        <w:pStyle w:val="BodyText"/>
      </w:pPr>
      <w:r>
        <w:t xml:space="preserve">Product Carbon Footprint Report | Generated Date: June 2, 2026</w:t>
      </w:r>
    </w:p>
    <w:bookmarkStart w:id="36" w:name="executive-summary"/>
    <w:p>
      <w:pPr>
        <w:pStyle w:val="Heading1"/>
      </w:pPr>
      <w:r>
        <w:t xml:space="preserve">Executive Summary</w:t>
      </w:r>
    </w:p>
    <w:p>
      <w:pPr>
        <w:pStyle w:val="FirstParagraph"/>
      </w:pPr>
      <w:r>
        <w:t xml:space="preserve">This document presents a detailed Product Carbon Footprint (PCF) analysis for \'pfzhpssddn\', produced by \'owxndkvufr\'. The assessment was performed by \'yzousodrhk\', Senior Sustainability Consultant, adhering strictly to the GHG Protocol. This analysis covers the lifecycle stages from raw material acquisition to end-of-life, providing a cradle-to-grave perspective for one functional unit of the product. The total carbon footprint for one unit of pfzhpssddn is estimated to be</w:t>
      </w:r>
      <w:r>
        <w:t xml:space="preserve"> </w:t>
      </w:r>
      <w:r>
        <w:rPr>
          <w:bCs/>
          <w:b/>
        </w:rPr>
        <w:t xml:space="preserve">16.225 kg CO2e</w:t>
      </w:r>
      <w:r>
        <w:t xml:space="preserve">. The primary hotspots identified are the material acquisition and use phase energy consumption. This report also incorporates considerations from the 2026 Land Sector and Removals (LSR) Standard and aims for high Scope 3 compliance.</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foundation of this PCF analysis is defined by the following parameters:</w:t>
      </w:r>
    </w:p>
    <w:p>
      <w:pPr>
        <w:numPr>
          <w:ilvl w:val="0"/>
          <w:numId w:val="1001"/>
        </w:numPr>
        <w:pStyle w:val="Compact"/>
      </w:pPr>
      <w:r>
        <w:rPr>
          <w:bCs/>
          <w:b/>
        </w:rPr>
        <w:t xml:space="preserve">Functional Unit:</w:t>
      </w:r>
      <w:r>
        <w:t xml:space="preserve"> </w:t>
      </w:r>
      <w:r>
        <w:t xml:space="preserve">1.0 unit of pfzhpssddn.</w:t>
      </w:r>
    </w:p>
    <w:p>
      <w:pPr>
        <w:numPr>
          <w:ilvl w:val="0"/>
          <w:numId w:val="1001"/>
        </w:numPr>
        <w:pStyle w:val="Compact"/>
      </w:pPr>
      <w:r>
        <w:rPr>
          <w:bCs/>
          <w:b/>
        </w:rPr>
        <w:t xml:space="preserve">System Boundary:</w:t>
      </w:r>
      <w:r>
        <w:t xml:space="preserve"> </w:t>
      </w:r>
      <w:r>
        <w:t xml:space="preserve">Cradle-to-grave. While the request specified \'factory_gate\', the detailed requirements for use phase and end-of-life necessitate an expansion to cradle-to-grave to capture all specified impacts.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a need to consider region-specific emission factors for energy and transport.</w:t>
      </w:r>
    </w:p>
    <w:p>
      <w:pPr>
        <w:numPr>
          <w:ilvl w:val="0"/>
          <w:numId w:val="1001"/>
        </w:numPr>
        <w:pStyle w:val="Compact"/>
      </w:pPr>
      <w:r>
        <w:rPr>
          <w:bCs/>
          <w:b/>
        </w:rPr>
        <w:t xml:space="preserve">Accounting Standard:</w:t>
      </w:r>
      <w:r>
        <w:t xml:space="preserve"> </w:t>
      </w:r>
      <w:r>
        <w:t xml:space="preserve">GHG Protocol (Product Standard). Emissions are categorized into Scope 1, Scope 2, and Scope 3 as per GHG Protocol guidelines.</w:t>
      </w:r>
    </w:p>
    <w:p>
      <w:pPr>
        <w:numPr>
          <w:ilvl w:val="0"/>
          <w:numId w:val="1001"/>
        </w:numPr>
        <w:pStyle w:val="Compact"/>
      </w:pPr>
      <w:r>
        <w:rPr>
          <w:bCs/>
          <w:b/>
        </w:rPr>
        <w:t xml:space="preserve">Allocation:</w:t>
      </w:r>
      <w:r>
        <w:t xml:space="preserve"> </w:t>
      </w:r>
      <w:r>
        <w:t xml:space="preserve">Mass-based allocation is applied for multi-functional processes where relevant.</w:t>
      </w:r>
    </w:p>
    <w:p>
      <w:r>
        <w:pict>
          <v:rect style="width:0;height:1.5pt" o:hralign="center" o:hrstd="t" o:hr="t"/>
        </w:pict>
      </w:r>
    </w:p>
    <w:bookmarkEnd w:id="21"/>
    <w:bookmarkStart w:id="27" w:name="lifecycle-mapping-and-3.-data-collection"/>
    <w:p>
      <w:pPr>
        <w:pStyle w:val="Heading2"/>
      </w:pPr>
      <w:r>
        <w:t xml:space="preserve">2. Lifecycle Mapping and 3. Data Collection</w:t>
      </w:r>
    </w:p>
    <w:p>
      <w:pPr>
        <w:pStyle w:val="FirstParagraph"/>
      </w:pPr>
      <w:r>
        <w:t xml:space="preserve">The lifecycle of \'pfzhpssddn\' has been mapped into distinct stages to systematically collect and attribute emissions. Data has been sourced from the provided parameters and supplemented with industry-average emission factors where specific data was not available (e.g., Ecoinvent/DEFRA equivalents for generic processes and energy mixes).</w:t>
      </w:r>
    </w:p>
    <w:bookmarkStart w:id="22" w:name="X982c326fb93613d4d5b2ea0769a7e370cfc78fa"/>
    <w:p>
      <w:pPr>
        <w:pStyle w:val="Heading3"/>
      </w:pPr>
      <w:r>
        <w:t xml:space="preserve">2.1. Detailed Bill of Materials (BOM) &amp; Material Inputs</w:t>
      </w:r>
    </w:p>
    <w:p>
      <w:pPr>
        <w:pStyle w:val="FirstParagraph"/>
      </w:pPr>
      <w:r>
        <w:t xml:space="preserve">The following Bill of Materials (BOM), referred to as \'yesjehro\', was used for high-accuracy material impact calculation. Emission factors represent cradle-to-gate impacts of material production. All data is per functional unit.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MAT-003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5.49 kgCO2e</w:t>
            </w:r>
          </w:p>
        </w:tc>
      </w:tr>
    </w:tbl>
    <w:p>
      <w:pPr>
        <w:pStyle w:val="BodyText"/>
      </w:pPr>
      <w:r>
        <w:t xml:space="preserve">These material emissions fall under Scope 3, Category 1 (Purchased goods and services).</w:t>
      </w:r>
    </w:p>
    <w:bookmarkEnd w:id="22"/>
    <w:bookmarkStart w:id="23" w:name="energy-inputs-manufacturing-phase"/>
    <w:p>
      <w:pPr>
        <w:pStyle w:val="Heading3"/>
      </w:pPr>
      <w:r>
        <w:t xml:space="preserve">2.2. Energy Inputs (Manufacturing Phase)</w:t>
      </w:r>
    </w:p>
    <w:p>
      <w:pPr>
        <w:pStyle w:val="FirstParagraph"/>
      </w:pPr>
      <w:r>
        <w:t xml:space="preserve">The energy consumed during the manufacturing of \'pfzhpssddn\' significantly contributes to its footprint. The following data was utilized:</w:t>
      </w:r>
    </w:p>
    <w:p>
      <w:pPr>
        <w:numPr>
          <w:ilvl w:val="0"/>
          <w:numId w:val="1002"/>
        </w:numPr>
        <w:pStyle w:val="Compact"/>
      </w:pPr>
      <w:r>
        <w:rPr>
          <w:bCs/>
          <w:b/>
        </w:rPr>
        <w:t xml:space="preserve">Energy Intensity (kWh/unit):</w:t>
      </w:r>
      <w:r>
        <w:t xml:space="preserve"> </w:t>
      </w:r>
      <w:r>
        <w:t xml:space="preserve">nesfhwivku (Assumed: 10 kWh/unit)</w:t>
      </w:r>
    </w:p>
    <w:p>
      <w:pPr>
        <w:numPr>
          <w:ilvl w:val="0"/>
          <w:numId w:val="1002"/>
        </w:numPr>
        <w:pStyle w:val="Compact"/>
      </w:pPr>
      <w:r>
        <w:rPr>
          <w:bCs/>
          <w:b/>
        </w:rPr>
        <w:t xml:space="preserve">Renewable Energy Usage:</w:t>
      </w:r>
      <w:r>
        <w:t xml:space="preserve"> </w:t>
      </w:r>
      <w:r>
        <w:t xml:space="preserve">efolnvtyzs (Assumed: 50% of total energy)</w:t>
      </w:r>
    </w:p>
    <w:p>
      <w:pPr>
        <w:numPr>
          <w:ilvl w:val="0"/>
          <w:numId w:val="1002"/>
        </w:numPr>
        <w:pStyle w:val="Compact"/>
      </w:pPr>
      <w:r>
        <w:rPr>
          <w:bCs/>
          <w:b/>
        </w:rPr>
        <w:t xml:space="preserve">Grid Electricity Emission Factor (China, assumed average):</w:t>
      </w:r>
      <w:r>
        <w:t xml:space="preserve"> </w:t>
      </w:r>
      <w:r>
        <w:t xml:space="preserve">0.6 kgCO2e/kWh</w:t>
      </w:r>
    </w:p>
    <w:p>
      <w:pPr>
        <w:numPr>
          <w:ilvl w:val="0"/>
          <w:numId w:val="1002"/>
        </w:numPr>
        <w:pStyle w:val="Compact"/>
      </w:pPr>
      <w:r>
        <w:rPr>
          <w:bCs/>
          <w:b/>
        </w:rPr>
        <w:t xml:space="preserve">Renewable Electricity Emission Factor:</w:t>
      </w:r>
      <w:r>
        <w:t xml:space="preserve"> </w:t>
      </w:r>
      <w:r>
        <w:t xml:space="preserve">0.0 kgCO2e/kWh (assuming zero-emissions source)</w:t>
      </w:r>
    </w:p>
    <w:p>
      <w:pPr>
        <w:pStyle w:val="FirstParagraph"/>
      </w:pPr>
      <w:r>
        <w:t xml:space="preserve">This energy consumption primarily relates to Scope 2 emissions.</w:t>
      </w:r>
    </w:p>
    <w:bookmarkEnd w:id="23"/>
    <w:bookmarkStart w:id="24" w:name="logistics-data-transport"/>
    <w:p>
      <w:pPr>
        <w:pStyle w:val="Heading3"/>
      </w:pPr>
      <w:r>
        <w:t xml:space="preserve">2.3. Logistics Data (Transport)</w:t>
      </w:r>
    </w:p>
    <w:p>
      <w:pPr>
        <w:pStyle w:val="FirstParagraph"/>
      </w:pPr>
      <w:r>
        <w:t xml:space="preserve">Transport impacts cover the movement of materials to the factory and the finished product to the customer. For calculations, the product unit weight is assumed to be 1 kg.</w:t>
      </w:r>
    </w:p>
    <w:p>
      <w:pPr>
        <w:numPr>
          <w:ilvl w:val="0"/>
          <w:numId w:val="1003"/>
        </w:numPr>
        <w:pStyle w:val="Compact"/>
      </w:pPr>
      <w:r>
        <w:rPr>
          <w:bCs/>
          <w:b/>
        </w:rPr>
        <w:t xml:space="preserve">Primary Transport Mode:</w:t>
      </w:r>
      <w:r>
        <w:t xml:space="preserve"> </w:t>
      </w:r>
      <w:r>
        <w:t xml:space="preserve">Select Mode (Assumed: Road Freight - Heavy Duty Truck)</w:t>
      </w:r>
    </w:p>
    <w:p>
      <w:pPr>
        <w:numPr>
          <w:ilvl w:val="0"/>
          <w:numId w:val="1003"/>
        </w:numPr>
        <w:pStyle w:val="Compact"/>
      </w:pPr>
      <w:r>
        <w:rPr>
          <w:bCs/>
          <w:b/>
        </w:rPr>
        <w:t xml:space="preserve">Primary Transport Distance:</w:t>
      </w:r>
      <w:r>
        <w:t xml:space="preserve"> </w:t>
      </w:r>
      <w:r>
        <w:t xml:space="preserve">vsrmrgjtzn (Assumed: 1500 km)</w:t>
      </w:r>
    </w:p>
    <w:p>
      <w:pPr>
        <w:numPr>
          <w:ilvl w:val="0"/>
          <w:numId w:val="1003"/>
        </w:numPr>
        <w:pStyle w:val="Compact"/>
      </w:pPr>
      <w:r>
        <w:rPr>
          <w:bCs/>
          <w:b/>
        </w:rPr>
        <w:t xml:space="preserve">Last-Mile Delivery Channel:</w:t>
      </w:r>
      <w:r>
        <w:t xml:space="preserve"> </w:t>
      </w:r>
      <w:r>
        <w:t xml:space="preserve">Delivery Type (Assumed: Light Commercial Van for a final 50 km segment)</w:t>
      </w:r>
    </w:p>
    <w:p>
      <w:pPr>
        <w:numPr>
          <w:ilvl w:val="0"/>
          <w:numId w:val="1003"/>
        </w:numPr>
        <w:pStyle w:val="Compact"/>
      </w:pPr>
      <w:r>
        <w:rPr>
          <w:bCs/>
          <w:b/>
        </w:rPr>
        <w:t xml:space="preserve">Emission Factor (Road Freight):</w:t>
      </w:r>
      <w:r>
        <w:t xml:space="preserve"> </w:t>
      </w:r>
      <w:r>
        <w:t xml:space="preserve">0.08 kgCO2e/tkm</w:t>
      </w:r>
    </w:p>
    <w:p>
      <w:pPr>
        <w:numPr>
          <w:ilvl w:val="0"/>
          <w:numId w:val="1003"/>
        </w:numPr>
        <w:pStyle w:val="Compact"/>
      </w:pPr>
      <w:r>
        <w:rPr>
          <w:bCs/>
          <w:b/>
        </w:rPr>
        <w:t xml:space="preserve">Emission Factor (Light Commercial Van):</w:t>
      </w:r>
      <w:r>
        <w:t xml:space="preserve"> </w:t>
      </w:r>
      <w:r>
        <w:t xml:space="preserve">0.3 kgCO2e/tkm (simplified for a light vehicle delivering a small item)</w:t>
      </w:r>
    </w:p>
    <w:p>
      <w:pPr>
        <w:pStyle w:val="FirstParagraph"/>
      </w:pPr>
      <w:r>
        <w:t xml:space="preserve">Transport emissions fall under Scope 3, Category 4 (Upstream transportation and distribution) and Category 9 (Downstream transportation and distribution).</w:t>
      </w:r>
    </w:p>
    <w:bookmarkEnd w:id="24"/>
    <w:bookmarkStart w:id="25" w:name="use-phase-data"/>
    <w:p>
      <w:pPr>
        <w:pStyle w:val="Heading3"/>
      </w:pPr>
      <w:r>
        <w:t xml:space="preserve">2.4. Use Phase Data</w:t>
      </w:r>
    </w:p>
    <w:p>
      <w:pPr>
        <w:pStyle w:val="FirstParagraph"/>
      </w:pPr>
      <w:r>
        <w:t xml:space="preserve">The product\'s energy consumption during its active use contributes to its environmental impact.</w:t>
      </w:r>
    </w:p>
    <w:p>
      <w:pPr>
        <w:numPr>
          <w:ilvl w:val="0"/>
          <w:numId w:val="1004"/>
        </w:numPr>
        <w:pStyle w:val="Compact"/>
      </w:pPr>
      <w:r>
        <w:rPr>
          <w:bCs/>
          <w:b/>
        </w:rPr>
        <w:t xml:space="preserve">Product Lifespan:</w:t>
      </w:r>
      <w:r>
        <w:t xml:space="preserve"> </w:t>
      </w:r>
      <w:r>
        <w:t xml:space="preserve">yqhkojpteq (Assumed: 5 years)</w:t>
      </w:r>
    </w:p>
    <w:p>
      <w:pPr>
        <w:numPr>
          <w:ilvl w:val="0"/>
          <w:numId w:val="1004"/>
        </w:numPr>
        <w:pStyle w:val="Compact"/>
      </w:pPr>
      <w:r>
        <w:rPr>
          <w:bCs/>
          <w:b/>
        </w:rPr>
        <w:t xml:space="preserve">Energy Consumption in Use:</w:t>
      </w:r>
      <w:r>
        <w:t xml:space="preserve"> </w:t>
      </w:r>
      <w:r>
        <w:t xml:space="preserve">mjjdzqiikr (Assumed: 5 kWh/year)</w:t>
      </w:r>
    </w:p>
    <w:p>
      <w:pPr>
        <w:numPr>
          <w:ilvl w:val="0"/>
          <w:numId w:val="1004"/>
        </w:numPr>
        <w:pStyle w:val="Compact"/>
      </w:pPr>
      <w:r>
        <w:rPr>
          <w:bCs/>
          <w:b/>
        </w:rPr>
        <w:t xml:space="preserve">Average Grid Electricity Emission Factor (EU Mix, assumed for use phase):</w:t>
      </w:r>
      <w:r>
        <w:t xml:space="preserve"> </w:t>
      </w:r>
      <w:r>
        <w:t xml:space="preserve">0.3 kgCO2e/kWh</w:t>
      </w:r>
    </w:p>
    <w:p>
      <w:pPr>
        <w:pStyle w:val="FirstParagraph"/>
      </w:pPr>
      <w:r>
        <w:t xml:space="preserve">Use phase emissions fall under Scope 3, Category 11 (Use of sold products).</w:t>
      </w:r>
    </w:p>
    <w:bookmarkEnd w:id="25"/>
    <w:bookmarkStart w:id="26" w:name="end-of-life-eol-scenarios"/>
    <w:p>
      <w:pPr>
        <w:pStyle w:val="Heading3"/>
      </w:pPr>
      <w:r>
        <w:t xml:space="preserve">2.5. End-of-Life (EoL) Scenarios</w:t>
      </w:r>
    </w:p>
    <w:p>
      <w:pPr>
        <w:pStyle w:val="FirstParagraph"/>
      </w:pPr>
      <w:r>
        <w:t xml:space="preserve">The fate of the product at the end of its life influences its overall footprint.</w:t>
      </w:r>
    </w:p>
    <w:p>
      <w:pPr>
        <w:numPr>
          <w:ilvl w:val="0"/>
          <w:numId w:val="1005"/>
        </w:numPr>
        <w:pStyle w:val="Compact"/>
      </w:pPr>
      <w:r>
        <w:rPr>
          <w:bCs/>
          <w:b/>
        </w:rPr>
        <w:t xml:space="preserve">Recyclability Percentage:</w:t>
      </w:r>
      <w:r>
        <w:t xml:space="preserve"> </w:t>
      </w:r>
      <w:r>
        <w:t xml:space="preserve">gonxdiusfi (Assumed: 70%)</w:t>
      </w:r>
    </w:p>
    <w:p>
      <w:pPr>
        <w:numPr>
          <w:ilvl w:val="0"/>
          <w:numId w:val="1005"/>
        </w:numPr>
        <w:pStyle w:val="Compact"/>
      </w:pPr>
      <w:r>
        <w:rPr>
          <w:bCs/>
          <w:b/>
        </w:rPr>
        <w:t xml:space="preserve">Circular/Take-back Programs:</w:t>
      </w:r>
      <w:r>
        <w:t xml:space="preserve"> </w:t>
      </w:r>
      <w:r>
        <w:t xml:space="preserve">qqfjjhtlpq (Assumed: Yes, established program is in place)</w:t>
      </w:r>
    </w:p>
    <w:p>
      <w:pPr>
        <w:numPr>
          <w:ilvl w:val="0"/>
          <w:numId w:val="1005"/>
        </w:numPr>
        <w:pStyle w:val="Compact"/>
      </w:pPr>
      <w:r>
        <w:rPr>
          <w:bCs/>
          <w:b/>
        </w:rPr>
        <w:t xml:space="preserve">Landfill Emission Factor (simplified for remaining waste):</w:t>
      </w:r>
      <w:r>
        <w:t xml:space="preserve"> </w:t>
      </w:r>
      <w:r>
        <w:t xml:space="preserve">0.5 kgCO2e/kg</w:t>
      </w:r>
    </w:p>
    <w:p>
      <w:pPr>
        <w:numPr>
          <w:ilvl w:val="0"/>
          <w:numId w:val="1005"/>
        </w:numPr>
        <w:pStyle w:val="Compact"/>
      </w:pPr>
      <w:r>
        <w:rPr>
          <w:bCs/>
          <w:b/>
        </w:rPr>
        <w:t xml:space="preserve">Recycling Benefit/Impact:</w:t>
      </w:r>
      <w:r>
        <w:t xml:space="preserve"> </w:t>
      </w:r>
      <w:r>
        <w:t xml:space="preserve">A credit for avoided primary production through recycling is implicitly considered by reducing landfill impact, and a small debit for recycling process energy is integrated into the net EoL impact.</w:t>
      </w:r>
    </w:p>
    <w:p>
      <w:pPr>
        <w:pStyle w:val="FirstParagraph"/>
      </w:pPr>
      <w:r>
        <w:t xml:space="preserve">End-of-life emissions fall under Scope 3, Category 12 (End-of-life treatment of sold products).</w:t>
      </w:r>
    </w:p>
    <w:p>
      <w:r>
        <w:pict>
          <v:rect style="width:0;height:1.5pt" o:hralign="center" o:hrstd="t" o:hr="t"/>
        </w:pict>
      </w:r>
    </w:p>
    <w:bookmarkEnd w:id="26"/>
    <w:bookmarkEnd w:id="27"/>
    <w:bookmarkStart w:id="32" w:name="emissions-calculation"/>
    <w:p>
      <w:pPr>
        <w:pStyle w:val="Heading2"/>
      </w:pPr>
      <w:r>
        <w:t xml:space="preserve">4. Emissions Calculation</w:t>
      </w:r>
    </w:p>
    <w:p>
      <w:pPr>
        <w:pStyle w:val="FirstParagraph"/>
      </w:pPr>
      <w:r>
        <w:t xml:space="preserve">Emissions were calculated by multiplying the activity data by their respective emission factors. The results are presented below, categorized by GHG Protocol Scopes.</w:t>
      </w:r>
    </w:p>
    <w:bookmarkStart w:id="28" w:name="X88245c549e7ce0c8bc92002f984db9fa91782b5"/>
    <w:p>
      <w:pPr>
        <w:pStyle w:val="Heading3"/>
      </w:pPr>
      <w:r>
        <w:t xml:space="preserve">4.1. Breakdown of Emissions by Lifecycle Stage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 / Assumption</w:t>
            </w:r>
          </w:p>
        </w:tc>
        <w:tc>
          <w:tcPr/>
          <w:p>
            <w:pPr>
              <w:pStyle w:val="Compact"/>
              <w:jc w:val="left"/>
            </w:pPr>
            <w:r>
              <w:t xml:space="preserve">CO2e Emissions (kg)</w:t>
            </w:r>
          </w:p>
        </w:tc>
        <w:tc>
          <w:tcPr/>
          <w:p>
            <w:pPr>
              <w:pStyle w:val="Compact"/>
              <w:jc w:val="left"/>
            </w:pPr>
            <w:r>
              <w:t xml:space="preserve">GHG Protocol Scope</w:t>
            </w:r>
          </w:p>
        </w:tc>
      </w:tr>
      <w:tr>
        <w:tc>
          <w:tcPr/>
          <w:p>
            <w:pPr>
              <w:pStyle w:val="Compact"/>
              <w:jc w:val="left"/>
            </w:pPr>
            <w:r>
              <w:rPr>
                <w:bCs/>
                <w:b/>
              </w:rPr>
              <w:t xml:space="preserve">Materials (BOM)</w:t>
            </w:r>
          </w:p>
        </w:tc>
        <w:tc>
          <w:tcPr/>
          <w:p>
            <w:pPr>
              <w:pStyle w:val="Compact"/>
              <w:jc w:val="left"/>
            </w:pPr>
            <w:r>
              <w:t xml:space="preserve">Total Qty of materials: 0.8 kg</w:t>
            </w:r>
          </w:p>
        </w:tc>
        <w:tc>
          <w:tcPr/>
          <w:p>
            <w:pPr>
              <w:pStyle w:val="Compact"/>
              <w:jc w:val="left"/>
            </w:pPr>
            <w:r>
              <w:t xml:space="preserve">Sum of individual material EFs</w:t>
            </w:r>
          </w:p>
        </w:tc>
        <w:tc>
          <w:tcPr/>
          <w:p>
            <w:pPr>
              <w:pStyle w:val="Compact"/>
              <w:jc w:val="left"/>
            </w:pPr>
            <w:r>
              <w:t xml:space="preserve">5.49</w:t>
            </w:r>
          </w:p>
        </w:tc>
        <w:tc>
          <w:tcPr/>
          <w:p>
            <w:pPr>
              <w:pStyle w:val="Compact"/>
              <w:jc w:val="left"/>
            </w:pPr>
            <w:r>
              <w:t xml:space="preserve">Scope 3, Category 1</w:t>
            </w:r>
          </w:p>
        </w:tc>
      </w:tr>
      <w:tr>
        <w:tc>
          <w:tcPr/>
          <w:p>
            <w:pPr>
              <w:pStyle w:val="Compact"/>
              <w:jc w:val="left"/>
            </w:pPr>
            <w:r>
              <w:rPr>
                <w:bCs/>
                <w:b/>
              </w:rPr>
              <w:t xml:space="preserve">Manufacturing Energy</w:t>
            </w:r>
          </w:p>
        </w:tc>
        <w:tc>
          <w:tcPr/>
          <w:p>
            <w:pPr>
              <w:pStyle w:val="Compact"/>
              <w:jc w:val="left"/>
            </w:pPr>
            <w:r>
              <w:t xml:space="preserve">10 kWh/unit (50% renewable)</w:t>
            </w:r>
          </w:p>
        </w:tc>
        <w:tc>
          <w:tcPr/>
          <w:p>
            <w:pPr>
              <w:pStyle w:val="Compact"/>
              <w:jc w:val="left"/>
            </w:pPr>
            <w:r>
              <w:t xml:space="preserve">0.6 kgCO2e/kWh (non-renewable)</w:t>
            </w:r>
          </w:p>
        </w:tc>
        <w:tc>
          <w:tcPr/>
          <w:p>
            <w:pPr>
              <w:pStyle w:val="Compact"/>
              <w:jc w:val="left"/>
            </w:pPr>
            <w:r>
              <w:t xml:space="preserve">3.00</w:t>
            </w:r>
          </w:p>
        </w:tc>
        <w:tc>
          <w:tcPr/>
          <w:p>
            <w:pPr>
              <w:pStyle w:val="Compact"/>
              <w:jc w:val="left"/>
            </w:pPr>
            <w:r>
              <w:t xml:space="preserve">Scope 2</w:t>
            </w:r>
          </w:p>
        </w:tc>
      </w:tr>
      <w:tr>
        <w:tc>
          <w:tcPr/>
          <w:p>
            <w:pPr>
              <w:pStyle w:val="Compact"/>
              <w:jc w:val="left"/>
            </w:pPr>
            <w:r>
              <w:rPr>
                <w:bCs/>
                <w:b/>
              </w:rPr>
              <w:t xml:space="preserve">Transport (Inbound/Outbound)</w:t>
            </w:r>
          </w:p>
        </w:tc>
        <w:tc>
          <w:tcPr/>
          <w:p>
            <w:pPr>
              <w:pStyle w:val="Compact"/>
              <w:jc w:val="left"/>
            </w:pPr>
            <w:r>
              <w:t xml:space="preserve">1 kg product * 1500 km</w:t>
            </w:r>
          </w:p>
        </w:tc>
        <w:tc>
          <w:tcPr/>
          <w:p>
            <w:pPr>
              <w:pStyle w:val="Compact"/>
              <w:jc w:val="left"/>
            </w:pPr>
            <w:r>
              <w:t xml:space="preserve">0.08 kgCO2e/tkm</w:t>
            </w:r>
          </w:p>
        </w:tc>
        <w:tc>
          <w:tcPr/>
          <w:p>
            <w:pPr>
              <w:pStyle w:val="Compact"/>
              <w:jc w:val="left"/>
            </w:pPr>
            <w:r>
              <w:t xml:space="preserve">0.12</w:t>
            </w:r>
          </w:p>
        </w:tc>
        <w:tc>
          <w:tcPr/>
          <w:p>
            <w:pPr>
              <w:pStyle w:val="Compact"/>
              <w:jc w:val="left"/>
            </w:pPr>
            <w:r>
              <w:t xml:space="preserve">Scope 3, Category 4 &amp; 9</w:t>
            </w:r>
          </w:p>
        </w:tc>
      </w:tr>
      <w:tr>
        <w:tc>
          <w:tcPr/>
          <w:p>
            <w:pPr>
              <w:pStyle w:val="Compact"/>
              <w:jc w:val="left"/>
            </w:pPr>
            <w:r>
              <w:rPr>
                <w:bCs/>
                <w:b/>
              </w:rPr>
              <w:t xml:space="preserve">Transport (Last-Mile)</w:t>
            </w:r>
          </w:p>
        </w:tc>
        <w:tc>
          <w:tcPr/>
          <w:p>
            <w:pPr>
              <w:pStyle w:val="Compact"/>
              <w:jc w:val="left"/>
            </w:pPr>
            <w:r>
              <w:t xml:space="preserve">1 kg product * 50 km</w:t>
            </w:r>
          </w:p>
        </w:tc>
        <w:tc>
          <w:tcPr/>
          <w:p>
            <w:pPr>
              <w:pStyle w:val="Compact"/>
              <w:jc w:val="left"/>
            </w:pPr>
            <w:r>
              <w:t xml:space="preserve">0.3 kgCO2e/tkm</w:t>
            </w:r>
          </w:p>
        </w:tc>
        <w:tc>
          <w:tcPr/>
          <w:p>
            <w:pPr>
              <w:pStyle w:val="Compact"/>
              <w:jc w:val="left"/>
            </w:pPr>
            <w:r>
              <w:t xml:space="preserve">0.015</w:t>
            </w:r>
          </w:p>
        </w:tc>
        <w:tc>
          <w:tcPr/>
          <w:p>
            <w:pPr>
              <w:pStyle w:val="Compact"/>
              <w:jc w:val="left"/>
            </w:pPr>
            <w:r>
              <w:t xml:space="preserve">Scope 3, Category 9</w:t>
            </w:r>
          </w:p>
        </w:tc>
      </w:tr>
      <w:tr>
        <w:tc>
          <w:tcPr/>
          <w:p>
            <w:pPr>
              <w:pStyle w:val="Compact"/>
              <w:jc w:val="left"/>
            </w:pPr>
            <w:r>
              <w:rPr>
                <w:bCs/>
                <w:b/>
              </w:rPr>
              <w:t xml:space="preserve">Use Phase Energy</w:t>
            </w:r>
          </w:p>
        </w:tc>
        <w:tc>
          <w:tcPr/>
          <w:p>
            <w:pPr>
              <w:pStyle w:val="Compact"/>
              <w:jc w:val="left"/>
            </w:pPr>
            <w:r>
              <w:t xml:space="preserve">25 kWh over lifespan (5 years * 5 kWh/year)</w:t>
            </w:r>
          </w:p>
        </w:tc>
        <w:tc>
          <w:tcPr/>
          <w:p>
            <w:pPr>
              <w:pStyle w:val="Compact"/>
              <w:jc w:val="left"/>
            </w:pPr>
            <w:r>
              <w:t xml:space="preserve">0.3 kgCO2e/kWh</w:t>
            </w:r>
          </w:p>
        </w:tc>
        <w:tc>
          <w:tcPr/>
          <w:p>
            <w:pPr>
              <w:pStyle w:val="Compact"/>
              <w:jc w:val="left"/>
            </w:pPr>
            <w:r>
              <w:t xml:space="preserve">7.50</w:t>
            </w:r>
          </w:p>
        </w:tc>
        <w:tc>
          <w:tcPr/>
          <w:p>
            <w:pPr>
              <w:pStyle w:val="Compact"/>
              <w:jc w:val="left"/>
            </w:pPr>
            <w:r>
              <w:t xml:space="preserve">Scope 3, Category 11</w:t>
            </w:r>
          </w:p>
        </w:tc>
      </w:tr>
      <w:tr>
        <w:tc>
          <w:tcPr/>
          <w:p>
            <w:pPr>
              <w:pStyle w:val="Compact"/>
              <w:jc w:val="left"/>
            </w:pPr>
            <w:r>
              <w:rPr>
                <w:bCs/>
                <w:b/>
              </w:rPr>
              <w:t xml:space="preserve">End-of-Life (EoL)</w:t>
            </w:r>
          </w:p>
        </w:tc>
        <w:tc>
          <w:tcPr/>
          <w:p>
            <w:pPr>
              <w:pStyle w:val="Compact"/>
              <w:jc w:val="left"/>
            </w:pPr>
            <w:r>
              <w:t xml:space="preserve">0.24 kg waste to landfill (30% of 0.8kg material)</w:t>
            </w:r>
          </w:p>
        </w:tc>
        <w:tc>
          <w:tcPr/>
          <w:p>
            <w:pPr>
              <w:pStyle w:val="Compact"/>
              <w:jc w:val="left"/>
            </w:pPr>
            <w:r>
              <w:t xml:space="preserve">0.5 kgCO2e/kg (simplified net impact)</w:t>
            </w:r>
          </w:p>
        </w:tc>
        <w:tc>
          <w:tcPr/>
          <w:p>
            <w:pPr>
              <w:pStyle w:val="Compact"/>
              <w:jc w:val="left"/>
            </w:pPr>
            <w:r>
              <w:t xml:space="preserve">0.10</w:t>
            </w:r>
          </w:p>
        </w:tc>
        <w:tc>
          <w:tcPr/>
          <w:p>
            <w:pPr>
              <w:pStyle w:val="Compact"/>
              <w:jc w:val="left"/>
            </w:pPr>
            <w:r>
              <w:t xml:space="preserve">Scope 3, Category 12</w:t>
            </w:r>
          </w:p>
        </w:tc>
      </w:tr>
      <w:tr>
        <w:tc>
          <w:tcPr>
            <w:gridSpan w:val="3"/>
          </w:tcPr>
          <w:p>
            <w:pPr>
              <w:pStyle w:val="Compact"/>
              <w:jc w:val="left"/>
            </w:pPr>
            <w:r>
              <w:rPr>
                <w:bCs/>
                <w:b/>
              </w:rPr>
              <w:t xml:space="preserve">TOTAL PRODUCT CARBON FOOTPRINT (kg CO2e per functional unit)</w:t>
            </w:r>
          </w:p>
        </w:tc>
        <w:tc>
          <w:tcPr/>
          <w:p>
            <w:pPr>
              <w:pStyle w:val="Compact"/>
              <w:jc w:val="left"/>
            </w:pPr>
            <w:r>
              <w:rPr>
                <w:bCs/>
                <w:b/>
              </w:rPr>
              <w:t xml:space="preserve">16.225</w:t>
            </w:r>
          </w:p>
        </w:tc>
        <w:tc>
          <w:tcPr/>
          <w:p>
            <w:pPr>
              <w:pStyle w:val="Compact"/>
            </w:pPr>
          </w:p>
        </w:tc>
      </w:tr>
    </w:tbl>
    <w:bookmarkEnd w:id="28"/>
    <w:bookmarkStart w:id="29" w:name="ghg-protocol-scope-summary"/>
    <w:p>
      <w:pPr>
        <w:pStyle w:val="Heading3"/>
      </w:pPr>
      <w:r>
        <w:t xml:space="preserve">4.2. GHG Protocol Scope Summary</w:t>
      </w:r>
    </w:p>
    <w:p>
      <w:pPr>
        <w:pStyle w:val="FirstParagraph"/>
      </w:pPr>
      <w:r>
        <w:t xml:space="preserve">The emissions are categorized as follows to meet GHG Protocol requirements:</w:t>
      </w:r>
    </w:p>
    <w:p>
      <w:pPr>
        <w:numPr>
          <w:ilvl w:val="0"/>
          <w:numId w:val="1006"/>
        </w:numPr>
        <w:pStyle w:val="Compact"/>
      </w:pPr>
      <w:r>
        <w:rPr>
          <w:bCs/>
          <w:b/>
        </w:rPr>
        <w:t xml:space="preserve">Scope 1 Emissions:</w:t>
      </w:r>
      <w:r>
        <w:t xml:space="preserve"> </w:t>
      </w:r>
      <w:r>
        <w:t xml:space="preserve">0.00 kgCO2e (Assuming no direct combustion or process emissions from owned/controlled sources for product manufacturing beyond purchased energy).</w:t>
      </w:r>
    </w:p>
    <w:p>
      <w:pPr>
        <w:numPr>
          <w:ilvl w:val="0"/>
          <w:numId w:val="1006"/>
        </w:numPr>
        <w:pStyle w:val="Compact"/>
      </w:pPr>
      <w:r>
        <w:rPr>
          <w:bCs/>
          <w:b/>
        </w:rPr>
        <w:t xml:space="preserve">Scope 2 Emissions:</w:t>
      </w:r>
      <w:r>
        <w:t xml:space="preserve"> </w:t>
      </w:r>
      <w:r>
        <w:t xml:space="preserve">3.00 kgCO2e (From purchased electricity for manufacturing).</w:t>
      </w:r>
    </w:p>
    <w:p>
      <w:pPr>
        <w:numPr>
          <w:ilvl w:val="0"/>
          <w:numId w:val="1006"/>
        </w:numPr>
        <w:pStyle w:val="Compact"/>
      </w:pPr>
      <w:r>
        <w:rPr>
          <w:bCs/>
          <w:b/>
        </w:rPr>
        <w:t xml:space="preserve">Scope 3 Emissions:</w:t>
      </w:r>
      <w:r>
        <w:t xml:space="preserve"> </w:t>
      </w:r>
      <w:r>
        <w:t xml:space="preserve">13.225 kgCO2e (Includes all upstream and downstream value chain emissions: materials, transport, use phase, EoL).</w:t>
      </w:r>
    </w:p>
    <w:p>
      <w:pPr>
        <w:pStyle w:val="FirstParagraph"/>
      </w:pPr>
      <w:r>
        <w:rPr>
          <w:bCs/>
          <w:b/>
        </w:rPr>
        <w:t xml:space="preserve">Total PCF = Scope 1 + Scope 2 + Scope 3 = 0.00 + 3.00 + 13.225 = 16.225 kgCO2e.</w:t>
      </w:r>
    </w:p>
    <w:bookmarkEnd w:id="29"/>
    <w:bookmarkStart w:id="30" w:name="lsr-update-application"/>
    <w:p>
      <w:pPr>
        <w:pStyle w:val="Heading3"/>
      </w:pPr>
      <w:r>
        <w:t xml:space="preserve">4.3. 2026 LSR Update Application</w:t>
      </w:r>
    </w:p>
    <w:p>
      <w:pPr>
        <w:pStyle w:val="FirstParagraph"/>
      </w:pPr>
      <w:r>
        <w:t xml:space="preserve">The Land Sector and Removals (LSR) Standard (2026 update) has been acknowledged. Based on the provided parameters, there is no specific data related to land use change emissions or explicit carbon removals (e.g., bio-based materials with sequestration potential) that could be directly quantified. Therefore, no direct LSR impacts are calculated in this report. Future assessments with detailed agricultural or forestry raw material data would integrate specific LSR calculations.</w:t>
      </w:r>
    </w:p>
    <w:bookmarkEnd w:id="30"/>
    <w:bookmarkStart w:id="31" w:name="scope-3-compliance"/>
    <w:p>
      <w:pPr>
        <w:pStyle w:val="Heading3"/>
      </w:pPr>
      <w:r>
        <w:t xml:space="preserve">4.4. Scope 3 Compliance</w:t>
      </w:r>
    </w:p>
    <w:p>
      <w:pPr>
        <w:pStyle w:val="FirstParagraph"/>
      </w:pPr>
      <w:r>
        <w:t xml:space="preserve">This analysis has covered major categories of Scope 3 emissions (Categories 1, 4, 9, 11, 12). By including raw materials, manufacturing (via Scope 2), all transport, use phase, and end-of-life, the report aims to provide comprehensive coverage in line with the 2026 requirement for at least 95% coverage for Scope 3 reporting. The detailed BOM and specified parameters contribute to a robust Scope 3 assessment.</w:t>
      </w:r>
    </w:p>
    <w:p>
      <w:r>
        <w:pict>
          <v:rect style="width:0;height:1.5pt" o:hralign="center" o:hrstd="t" o:hr="t"/>
        </w:pict>
      </w:r>
    </w:p>
    <w:bookmarkEnd w:id="31"/>
    <w:bookmarkEnd w:id="32"/>
    <w:bookmarkStart w:id="35" w:name="review-report"/>
    <w:p>
      <w:pPr>
        <w:pStyle w:val="Heading2"/>
      </w:pPr>
      <w:r>
        <w:t xml:space="preserve">5. Review &amp; Report</w:t>
      </w:r>
    </w:p>
    <w:bookmarkStart w:id="33" w:name="hotspots-analysis"/>
    <w:p>
      <w:pPr>
        <w:pStyle w:val="Heading3"/>
      </w:pPr>
      <w:r>
        <w:t xml:space="preserve">5.1. Hotspots Analysis</w:t>
      </w:r>
    </w:p>
    <w:p>
      <w:pPr>
        <w:pStyle w:val="FirstParagraph"/>
      </w:pPr>
      <w:r>
        <w:t xml:space="preserve">The major emission hotspots for \'pfzhpssddn\' are:</w:t>
      </w:r>
    </w:p>
    <w:p>
      <w:pPr>
        <w:numPr>
          <w:ilvl w:val="0"/>
          <w:numId w:val="1007"/>
        </w:numPr>
        <w:pStyle w:val="Compact"/>
      </w:pPr>
      <w:r>
        <w:rPr>
          <w:bCs/>
          <w:b/>
        </w:rPr>
        <w:t xml:space="preserve">Material Acquisition (33.8% of total PCF):</w:t>
      </w:r>
      <w:r>
        <w:t xml:space="preserve"> </w:t>
      </w:r>
      <w:r>
        <w:t xml:space="preserve">The production of raw materials, particularly the assumed aluminum housing and electronic components, contributes significantly. This highlights the importance of sustainable material sourcing and design for dematerialization.</w:t>
      </w:r>
    </w:p>
    <w:p>
      <w:pPr>
        <w:numPr>
          <w:ilvl w:val="0"/>
          <w:numId w:val="1007"/>
        </w:numPr>
        <w:pStyle w:val="Compact"/>
      </w:pPr>
      <w:r>
        <w:rPr>
          <w:bCs/>
          <w:b/>
        </w:rPr>
        <w:t xml:space="preserve">Use Phase Energy Consumption (46.2% of total PCF):</w:t>
      </w:r>
      <w:r>
        <w:t xml:space="preserve"> </w:t>
      </w:r>
      <w:r>
        <w:t xml:space="preserve">The electricity consumed during the product\'s lifespan is the single largest contributor. Improving energy efficiency during use and encouraging renewable energy adoption by end-users are critical intervention points.</w:t>
      </w:r>
    </w:p>
    <w:p>
      <w:pPr>
        <w:numPr>
          <w:ilvl w:val="0"/>
          <w:numId w:val="1007"/>
        </w:numPr>
        <w:pStyle w:val="Compact"/>
      </w:pPr>
      <w:r>
        <w:rPr>
          <w:bCs/>
          <w:b/>
        </w:rPr>
        <w:t xml:space="preserve">Manufacturing Energy (18.5% of total PCF):</w:t>
      </w:r>
      <w:r>
        <w:t xml:space="preserve"> </w:t>
      </w:r>
      <w:r>
        <w:t xml:space="preserve">Despite 50% renewable energy usage, the remaining grid electricity from China\'s average mix is a substantial contributor. Increasing renewable energy procurement or on-site generation at the manufacturing facility is crucial.</w:t>
      </w:r>
    </w:p>
    <w:bookmarkEnd w:id="33"/>
    <w:bookmarkStart w:id="34" w:name="reliability-and-limitations"/>
    <w:p>
      <w:pPr>
        <w:pStyle w:val="Heading3"/>
      </w:pPr>
      <w:r>
        <w:t xml:space="preserve">5.2. Reliability and Limitations</w:t>
      </w:r>
    </w:p>
    <w:p>
      <w:pPr>
        <w:pStyle w:val="FirstParagraph"/>
      </w:pPr>
      <w:r>
        <w:t xml:space="preserve">The reliability of this report is high for the stages where specific data (like the detailed BOM emission factors) was provided. However, some aspects rely on assumed data due to the placeholder nature of several input parameters:</w:t>
      </w:r>
    </w:p>
    <w:p>
      <w:pPr>
        <w:numPr>
          <w:ilvl w:val="0"/>
          <w:numId w:val="1008"/>
        </w:numPr>
        <w:pStyle w:val="Compact"/>
      </w:pPr>
      <w:r>
        <w:t xml:space="preserve">Emission factors for generic processes (e.g., transport modes, grid electricity for use phase) are based on industry averages (Ecoinvent/DEFRA equivalents) and may not perfectly reflect specific supplier data.</w:t>
      </w:r>
    </w:p>
    <w:p>
      <w:pPr>
        <w:numPr>
          <w:ilvl w:val="0"/>
          <w:numId w:val="1008"/>
        </w:numPr>
        <w:pStyle w:val="Compact"/>
      </w:pPr>
      <w:r>
        <w:t xml:space="preserve">Quantifiable values for \'Transport Mode\', \'Transport Distance\', \'Last-Mile Delivery Channel\', \'Renewable Energy Usage\', \'Energy Intensity\', \'Product Lifespan\', \'Energy Consumption in Use\', \'Recyclability Percentage\', and \'Circular/Take-back Programs\' were interpreted as illustrative numerical assumptions from their placeholder strings to enable calculation. More precise primary data would enhance accuracy.</w:t>
      </w:r>
    </w:p>
    <w:p>
      <w:pPr>
        <w:numPr>
          <w:ilvl w:val="0"/>
          <w:numId w:val="1008"/>
        </w:numPr>
        <w:pStyle w:val="Compact"/>
      </w:pPr>
      <w:r>
        <w:t xml:space="preserve">The EoL scenario, while incorporating recyclability, uses a simplified model for net impact. A more detailed waste stream analysis would provide greater precision.</w:t>
      </w:r>
    </w:p>
    <w:p>
      <w:pPr>
        <w:pStyle w:val="FirstParagraph"/>
      </w:pPr>
      <w:r>
        <w:t xml:space="preserve">To further enhance accuracy, it is recommended to obtain primary data for all placeholder parameters and conduct sensitivity analyses on key emission factors.</w:t>
      </w:r>
    </w:p>
    <w:p>
      <w:r>
        <w:pict>
          <v:rect style="width:0;height:1.5pt" o:hralign="center" o:hrstd="t" o:hr="t"/>
        </w:pict>
      </w:r>
    </w:p>
    <w:p>
      <w:pPr>
        <w:pStyle w:val="FirstParagraph"/>
      </w:pPr>
      <w:r>
        <w:t xml:space="preserve">Confidential - Internal Use Only | Page 1 of 1 (Dynamic pagination not supported in static HTML)</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pfzhpssddn</dc:title>
  <dc:creator/>
  <dc:description>Detailed Product Carbon Footprint (PCF) analysis for pfzhpssddn, following the GHG Protocol and 2026 LSR update guidelines.</dc:description>
  <dc:language>en</dc:language>
  <cp:keywords/>
  <dcterms:created xsi:type="dcterms:W3CDTF">2026-07-15T04:01:47Z</dcterms:created>
  <dcterms:modified xsi:type="dcterms:W3CDTF">2026-07-15T04:01:47Z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