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pevwzhfyui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For Product:</w:t>
      </w:r>
      <w:r>
        <w:t xml:space="preserve"> </w:t>
      </w:r>
      <w:r>
        <w:t xml:space="preserve">pevwzhfyui</w:t>
      </w:r>
    </w:p>
    <w:p>
      <w:pPr>
        <w:pStyle w:val="BodyText"/>
      </w:pPr>
      <w:r>
        <w:rPr>
          <w:bCs/>
          <w:b/>
        </w:rPr>
        <w:t xml:space="preserve">Company Name:</w:t>
      </w:r>
      <w:r>
        <w:t xml:space="preserve"> </w:t>
      </w:r>
      <w:r>
        <w:t xml:space="preserve">newzsllpho</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dkntmdxkwm</w:t>
      </w:r>
    </w:p>
    <w:p>
      <w:pPr>
        <w:pStyle w:val="BodyText"/>
      </w:pPr>
      <w:r>
        <w:rPr>
          <w:iCs/>
          <w:i/>
        </w:rPr>
        <w:t xml:space="preserve">This report is generated based on available data, illustrative parameters, and industry standards. It aims to provide a comprehensive analysis of the Product Carbon Footprint (PCF) for pevwzhfyui according to the specified methodology and accounting principles.</w:t>
      </w:r>
    </w:p>
    <w:bookmarkEnd w:id="20"/>
    <w:bookmarkStart w:id="46" w:name="Xa2caacf9118eee53b0014f7b732f7c15ca9d10d"/>
    <w:p>
      <w:pPr>
        <w:pStyle w:val="Heading1"/>
      </w:pPr>
      <w:r>
        <w:t xml:space="preserve">Product Carbon Footprint Analysis Report for pevwzhfyui</w:t>
      </w:r>
    </w:p>
    <w:p>
      <w:pPr>
        <w:pStyle w:val="FirstParagraph"/>
      </w:pPr>
      <w:r>
        <w:rPr>
          <w:bCs/>
          <w:b/>
        </w:rPr>
        <w:t xml:space="preserve">Generated Date:</w:t>
      </w:r>
      <w:r>
        <w:t xml:space="preserve"> </w:t>
      </w:r>
      <w:r>
        <w:t xml:space="preserve">May 23,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pevwzhfyui</w:t>
      </w:r>
      <w:r>
        <w:t xml:space="preserve">, manufactured by</w:t>
      </w:r>
      <w:r>
        <w:t xml:space="preserve"> </w:t>
      </w:r>
      <w:r>
        <w:rPr>
          <w:bCs/>
          <w:b/>
        </w:rPr>
        <w:t xml:space="preserve">newzsllpho</w:t>
      </w:r>
      <w:r>
        <w:t xml:space="preserve">. The analysis, conducted by Senior Sustainability Consultant</w:t>
      </w:r>
      <w:r>
        <w:t xml:space="preserve"> </w:t>
      </w:r>
      <w:r>
        <w:rPr>
          <w:bCs/>
          <w:b/>
        </w:rPr>
        <w:t xml:space="preserve">dkntmdxkwm</w:t>
      </w:r>
      <w:r>
        <w:t xml:space="preserve">, adheres to the GHG Protocol accounting standard, including considerations for the 2026 Land Sector and Removals (LSR) update and ensuring at least 95% Scope 3 coverage. The assessment covers the product\'s full lifecycle from material acquisition to end-of-life, focusing on a supply chain from China with a European market focus. The total carbon footprint for the functional unit of 1.0 unit of pevwzhfyui is calculated based on illustrative data for Bill of Materials, energy usage, transport, and end-of-life scenarios, demonstrating a commitment to granular impact assessment. The total PCF for</w:t>
      </w:r>
      <w:r>
        <w:t xml:space="preserve"> </w:t>
      </w:r>
      <w:r>
        <w:rPr>
          <w:bCs/>
          <w:b/>
        </w:rPr>
        <w:t xml:space="preserve">pevwzhfyui</w:t>
      </w:r>
      <w:r>
        <w:t xml:space="preserve"> </w:t>
      </w:r>
      <w:r>
        <w:t xml:space="preserve">is calculated to be</w:t>
      </w:r>
      <w:r>
        <w:t xml:space="preserve"> </w:t>
      </w:r>
      <w:r>
        <w:rPr>
          <w:bCs/>
          <w:b/>
        </w:rPr>
        <w:t xml:space="preserve">10.132 kg CO2e per unit</w:t>
      </w:r>
      <w:r>
        <w:t xml:space="preserve">.</w:t>
      </w:r>
    </w:p>
    <w:p>
      <w:r>
        <w:pict>
          <v:rect style="width:0;height:1.5pt" o:hralign="center" o:hrstd="t" o:hr="t"/>
        </w:pict>
      </w:r>
    </w:p>
    <w:bookmarkEnd w:id="21"/>
    <w:bookmarkStart w:id="22" w:name="introduction"/>
    <w:p>
      <w:pPr>
        <w:pStyle w:val="Heading2"/>
      </w:pPr>
      <w:r>
        <w:t xml:space="preserve">1. Introduction</w:t>
      </w:r>
    </w:p>
    <w:p>
      <w:pPr>
        <w:pStyle w:val="FirstParagraph"/>
      </w:pPr>
      <w:r>
        <w:t xml:space="preserve">The imperative for businesses to understand and reduce their environmental impact has never been greater. A Product Carbon Footprint (PCF) analysis provides a quantified assessment of the greenhouse gas (GHG) emissions associated with a product throughout its entire lifecycle. This report outlines the PCF for</w:t>
      </w:r>
      <w:r>
        <w:t xml:space="preserve"> </w:t>
      </w:r>
      <w:r>
        <w:rPr>
          <w:bCs/>
          <w:b/>
        </w:rPr>
        <w:t xml:space="preserve">pevwzhfyui</w:t>
      </w:r>
      <w:r>
        <w:t xml:space="preserve">, a product from</w:t>
      </w:r>
      <w:r>
        <w:t xml:space="preserve"> </w:t>
      </w:r>
      <w:r>
        <w:rPr>
          <w:bCs/>
          <w:b/>
        </w:rPr>
        <w:t xml:space="preserve">newzsllpho</w:t>
      </w:r>
      <w:r>
        <w:t xml:space="preserve">, in accordance with the robust framework of the GHG Protocol.</w:t>
      </w:r>
    </w:p>
    <w:p>
      <w:pPr>
        <w:pStyle w:val="BodyText"/>
      </w:pPr>
      <w:r>
        <w:t xml:space="preserve">This study aims to:</w:t>
      </w:r>
    </w:p>
    <w:p>
      <w:pPr>
        <w:numPr>
          <w:ilvl w:val="0"/>
          <w:numId w:val="1001"/>
        </w:numPr>
        <w:pStyle w:val="Compact"/>
      </w:pPr>
      <w:r>
        <w:t xml:space="preserve">Quantify the total carbon equivalent (CO2e) emissions of</w:t>
      </w:r>
      <w:r>
        <w:t xml:space="preserve"> </w:t>
      </w:r>
      <w:r>
        <w:rPr>
          <w:bCs/>
          <w:b/>
        </w:rPr>
        <w:t xml:space="preserve">pevwzhfyui</w:t>
      </w:r>
      <w:r>
        <w:t xml:space="preserve">.</w:t>
      </w:r>
    </w:p>
    <w:p>
      <w:pPr>
        <w:numPr>
          <w:ilvl w:val="0"/>
          <w:numId w:val="1001"/>
        </w:numPr>
        <w:pStyle w:val="Compact"/>
      </w:pPr>
      <w:r>
        <w:t xml:space="preserve">Identify emission hotspots across the product\'s lifecycle.</w:t>
      </w:r>
    </w:p>
    <w:p>
      <w:pPr>
        <w:numPr>
          <w:ilvl w:val="0"/>
          <w:numId w:val="1001"/>
        </w:numPr>
        <w:pStyle w:val="Compact"/>
      </w:pPr>
      <w:r>
        <w:t xml:space="preserve">Provide actionable insights for reducing the product\'s environmental impact.</w:t>
      </w:r>
    </w:p>
    <w:p>
      <w:pPr>
        <w:pStyle w:val="FirstParagraph"/>
      </w:pPr>
      <w:r>
        <w:t xml:space="preserve">The analysis is conducted by</w:t>
      </w:r>
      <w:r>
        <w:t xml:space="preserve"> </w:t>
      </w:r>
      <w:r>
        <w:rPr>
          <w:bCs/>
          <w:b/>
        </w:rPr>
        <w:t xml:space="preserve">dkntmdxkwm</w:t>
      </w:r>
      <w:r>
        <w:t xml:space="preserve">, a Senior Sustainability Consultant, ensuring alignment with best practices and the latest accounting standards.</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assessment for</w:t>
      </w:r>
      <w:r>
        <w:t xml:space="preserve"> </w:t>
      </w:r>
      <w:r>
        <w:rPr>
          <w:bCs/>
          <w:b/>
        </w:rPr>
        <w:t xml:space="preserve">pevwzhfyui</w:t>
      </w:r>
      <w:r>
        <w:t xml:space="preserve"> </w:t>
      </w:r>
      <w:r>
        <w:t xml:space="preserve">follows a structured methodology consistent with the GHG Protocol Product Standard. The five key steps are:</w:t>
      </w:r>
    </w:p>
    <w:p>
      <w:pPr>
        <w:numPr>
          <w:ilvl w:val="0"/>
          <w:numId w:val="1002"/>
        </w:numPr>
        <w:pStyle w:val="Compact"/>
      </w:pPr>
      <w:r>
        <w:rPr>
          <w:bCs/>
          <w:b/>
        </w:rPr>
        <w:t xml:space="preserve">Define Scope:</w:t>
      </w:r>
      <w:r>
        <w:t xml:space="preserve"> </w:t>
      </w:r>
      <w:r>
        <w:t xml:space="preserve">Establish the functional unit, system boundaries, geographic scope, and allocation rules.</w:t>
      </w:r>
    </w:p>
    <w:p>
      <w:pPr>
        <w:numPr>
          <w:ilvl w:val="0"/>
          <w:numId w:val="1002"/>
        </w:numPr>
        <w:pStyle w:val="Compact"/>
      </w:pPr>
      <w:r>
        <w:rPr>
          <w:bCs/>
          <w:b/>
        </w:rPr>
        <w:t xml:space="preserve">Map Lifecycle:</w:t>
      </w:r>
      <w:r>
        <w:t xml:space="preserve"> </w:t>
      </w:r>
      <w:r>
        <w:t xml:space="preserve">Detail the lifecycle inventory (LCI) stages relevant to the product.</w:t>
      </w:r>
    </w:p>
    <w:p>
      <w:pPr>
        <w:numPr>
          <w:ilvl w:val="0"/>
          <w:numId w:val="1002"/>
        </w:numPr>
        <w:pStyle w:val="Compact"/>
      </w:pPr>
      <w:r>
        <w:rPr>
          <w:bCs/>
          <w:b/>
        </w:rPr>
        <w:t xml:space="preserve">Collect Data:</w:t>
      </w:r>
      <w:r>
        <w:t xml:space="preserve"> </w:t>
      </w:r>
      <w:r>
        <w:t xml:space="preserve">Gather primary and secondary data points for all inputs and outputs within the defined system boundaries.</w:t>
      </w:r>
    </w:p>
    <w:p>
      <w:pPr>
        <w:numPr>
          <w:ilvl w:val="0"/>
          <w:numId w:val="1002"/>
        </w:numPr>
        <w:pStyle w:val="Compact"/>
      </w:pPr>
      <w:r>
        <w:rPr>
          <w:bCs/>
          <w:b/>
        </w:rPr>
        <w:t xml:space="preserve">Calculate Emissions:</w:t>
      </w:r>
      <w:r>
        <w:t xml:space="preserve"> </w:t>
      </w:r>
      <w:r>
        <w:t xml:space="preserve">Apply appropriate emission factors to activity data to quantify CO2e emissions.</w:t>
      </w:r>
    </w:p>
    <w:p>
      <w:pPr>
        <w:numPr>
          <w:ilvl w:val="0"/>
          <w:numId w:val="1002"/>
        </w:numPr>
        <w:pStyle w:val="Compact"/>
      </w:pPr>
      <w:r>
        <w:rPr>
          <w:bCs/>
          <w:b/>
        </w:rPr>
        <w:t xml:space="preserve">Review &amp; Report:</w:t>
      </w:r>
      <w:r>
        <w:t xml:space="preserve"> </w:t>
      </w:r>
      <w:r>
        <w:t xml:space="preserve">Analyze results, identify hotspots, assess reliability, and present findings.</w:t>
      </w:r>
    </w:p>
    <w:bookmarkStart w:id="23" w:name="ghg-protocol-adherence"/>
    <w:p>
      <w:pPr>
        <w:pStyle w:val="Heading3"/>
      </w:pPr>
      <w:r>
        <w:t xml:space="preserve">GHG Protocol Adherence</w:t>
      </w:r>
    </w:p>
    <w:p>
      <w:pPr>
        <w:pStyle w:val="FirstParagraph"/>
      </w:pPr>
      <w:r>
        <w:t xml:space="preserve">Emissions are categorized strictly according to the GHG Protocol:</w:t>
      </w:r>
    </w:p>
    <w:p>
      <w:pPr>
        <w:numPr>
          <w:ilvl w:val="0"/>
          <w:numId w:val="1003"/>
        </w:numPr>
        <w:pStyle w:val="Compact"/>
      </w:pPr>
      <w:r>
        <w:rPr>
          <w:bCs/>
          <w:b/>
        </w:rPr>
        <w:t xml:space="preserve">Scope 1:</w:t>
      </w:r>
      <w:r>
        <w:t xml:space="preserve"> </w:t>
      </w:r>
      <w:r>
        <w:t xml:space="preserve">Direct emissions from sources owned or controlled by newzsllpho (e.g., manufacturing facilities).</w:t>
      </w:r>
    </w:p>
    <w:p>
      <w:pPr>
        <w:numPr>
          <w:ilvl w:val="0"/>
          <w:numId w:val="1003"/>
        </w:numPr>
        <w:pStyle w:val="Compact"/>
      </w:pPr>
      <w:r>
        <w:rPr>
          <w:bCs/>
          <w:b/>
        </w:rPr>
        <w:t xml:space="preserve">Scope 2:</w:t>
      </w:r>
      <w:r>
        <w:t xml:space="preserve"> </w:t>
      </w:r>
      <w:r>
        <w:t xml:space="preserve">Indirect emissions from the generation of purchased electricity, heat, or steam consumed by newzsllpho.</w:t>
      </w:r>
    </w:p>
    <w:p>
      <w:pPr>
        <w:numPr>
          <w:ilvl w:val="0"/>
          <w:numId w:val="1003"/>
        </w:numPr>
        <w:pStyle w:val="Compact"/>
      </w:pPr>
      <w:r>
        <w:rPr>
          <w:bCs/>
          <w:b/>
        </w:rPr>
        <w:t xml:space="preserve">Scope 3:</w:t>
      </w:r>
      <w:r>
        <w:t xml:space="preserve"> </w:t>
      </w:r>
      <w:r>
        <w:t xml:space="preserve">All other indirect emissions that occur in the value chain of newzsllpho, both upstream and downstream. This includes emissions from material extraction, transportation, product use, and end-of-life treatment.</w:t>
      </w:r>
    </w:p>
    <w:bookmarkEnd w:id="23"/>
    <w:bookmarkStart w:id="24" w:name="land-sector-and-removals-lsr-update"/>
    <w:p>
      <w:pPr>
        <w:pStyle w:val="Heading3"/>
      </w:pPr>
      <w:r>
        <w:t xml:space="preserve">2026 Land Sector and Removals (LSR) Update</w:t>
      </w:r>
    </w:p>
    <w:p>
      <w:pPr>
        <w:pStyle w:val="FirstParagraph"/>
      </w:pPr>
      <w:r>
        <w:t xml:space="preserve">This assessment acknowledges the upcoming 2026 Land Sector and Removals (LSR) Standard, published on January 30, 2026, and effective January 1, 2027. This standard provides accounting requirements for land emissions, CO2 removals, and technological CO2 removals. While specific land-use change data for each component of</w:t>
      </w:r>
      <w:r>
        <w:t xml:space="preserve"> </w:t>
      </w:r>
      <w:r>
        <w:rPr>
          <w:bCs/>
          <w:b/>
        </w:rPr>
        <w:t xml:space="preserve">pevwzhfyui</w:t>
      </w:r>
      <w:r>
        <w:t xml:space="preserve">\'s supply chain is beyond the scope of this general assessment, the methodology is designed to integrate such data for accurate accounting of emissions and removals from land management and land-use change once available. The intent is to capture biogenic carbon flows and removals where relevant, ensuring a comprehensive understanding of land-related impacts. The accompanying guidance document is expected to be published in the second quarter of 2026.</w:t>
      </w:r>
    </w:p>
    <w:bookmarkEnd w:id="24"/>
    <w:bookmarkStart w:id="25" w:name="scope-3-compliance"/>
    <w:p>
      <w:pPr>
        <w:pStyle w:val="Heading3"/>
      </w:pPr>
      <w:r>
        <w:t xml:space="preserve">Scope 3 Compliance</w:t>
      </w:r>
    </w:p>
    <w:p>
      <w:pPr>
        <w:pStyle w:val="FirstParagraph"/>
      </w:pPr>
      <w:r>
        <w:t xml:space="preserve">In line with 2026 requirements, this report aims for at least 95% coverage for Scope 3 emissions reporting. The detailed Bill of Materials, comprehensive logistics analysis, and consideration of use-phase and end-of-life scenarios contribute significantly to achieving this high level of coverage.</w:t>
      </w:r>
    </w:p>
    <w:p>
      <w:r>
        <w:pict>
          <v:rect style="width:0;height:1.5pt" o:hralign="center" o:hrstd="t" o:hr="t"/>
        </w:pict>
      </w:r>
    </w:p>
    <w:bookmarkEnd w:id="25"/>
    <w:bookmarkEnd w:id="26"/>
    <w:bookmarkStart w:id="27" w:name="scope-definition"/>
    <w:p>
      <w:pPr>
        <w:pStyle w:val="Heading2"/>
      </w:pPr>
      <w:r>
        <w:t xml:space="preserve">3. Scope Definition</w:t>
      </w:r>
    </w:p>
    <w:p>
      <w:pPr>
        <w:pStyle w:val="FirstParagraph"/>
      </w:pPr>
      <w:r>
        <w:t xml:space="preserve">The foundational parameters for this PCF analysis are defined as follows:</w:t>
      </w:r>
    </w:p>
    <w:p>
      <w:pPr>
        <w:numPr>
          <w:ilvl w:val="0"/>
          <w:numId w:val="1004"/>
        </w:numPr>
        <w:pStyle w:val="Compact"/>
      </w:pPr>
      <w:r>
        <w:rPr>
          <w:bCs/>
          <w:b/>
        </w:rPr>
        <w:t xml:space="preserve">Functional Unit:</w:t>
      </w:r>
      <w:r>
        <w:t xml:space="preserve"> </w:t>
      </w:r>
      <w:r>
        <w:t xml:space="preserve">1.0 unit of</w:t>
      </w:r>
      <w:r>
        <w:t xml:space="preserve"> </w:t>
      </w:r>
      <w:r>
        <w:rPr>
          <w:bCs/>
          <w:b/>
        </w:rPr>
        <w:t xml:space="preserve">pevwzhfyui</w:t>
      </w:r>
      <w:r>
        <w:t xml:space="preserve">. This represents the reference unit to which all inputs and outputs are normalized, ensuring comparability.</w:t>
      </w:r>
    </w:p>
    <w:p>
      <w:pPr>
        <w:numPr>
          <w:ilvl w:val="0"/>
          <w:numId w:val="1004"/>
        </w:numPr>
        <w:pStyle w:val="Compact"/>
      </w:pPr>
      <w:r>
        <w:rPr>
          <w:bCs/>
          <w:b/>
        </w:rPr>
        <w:t xml:space="preserve">System Boundary:</w:t>
      </w:r>
      <w:r>
        <w:t xml:space="preserve"> </w:t>
      </w:r>
      <w:r>
        <w:t xml:space="preserve">factory_gate. This "cradle-to-gate" boundary for initial calculations includes raw material extraction, component manufacturing, and final product assembly up to the point it leaves the factory. However, to fulfill the comprehensive PCF requirement, the analysis extends to "cradle-to-grave," incorporating transport to consumer, use phase, and end-of-life.</w:t>
      </w:r>
    </w:p>
    <w:p>
      <w:pPr>
        <w:numPr>
          <w:ilvl w:val="0"/>
          <w:numId w:val="1004"/>
        </w:numPr>
        <w:pStyle w:val="Compact"/>
      </w:pPr>
      <w:r>
        <w:rPr>
          <w:bCs/>
          <w:b/>
        </w:rPr>
        <w:t xml:space="preserve">Geographic Scope:</w:t>
      </w:r>
    </w:p>
    <w:p>
      <w:pPr>
        <w:numPr>
          <w:ilvl w:val="1"/>
          <w:numId w:val="1005"/>
        </w:numPr>
        <w:pStyle w:val="Compact"/>
      </w:pPr>
      <w:r>
        <w:rPr>
          <w:bCs/>
          <w:b/>
        </w:rPr>
        <w:t xml:space="preserve">Final Production Country:</w:t>
      </w:r>
      <w:r>
        <w:t xml:space="preserve"> </w:t>
      </w:r>
      <w:r>
        <w:t xml:space="preserve">China</w:t>
      </w:r>
    </w:p>
    <w:p>
      <w:pPr>
        <w:numPr>
          <w:ilvl w:val="1"/>
          <w:numId w:val="1005"/>
        </w:numPr>
        <w:pStyle w:val="Compact"/>
      </w:pPr>
      <w:r>
        <w:rPr>
          <w:bCs/>
          <w:b/>
        </w:rPr>
        <w:t xml:space="preserve">Supply Chain Focus:</w:t>
      </w:r>
      <w:r>
        <w:t xml:space="preserve"> </w:t>
      </w:r>
      <w:r>
        <w:t xml:space="preserve">Europe Focused (implying primary distribution and market are in Europe)</w:t>
      </w:r>
    </w:p>
    <w:p>
      <w:pPr>
        <w:numPr>
          <w:ilvl w:val="0"/>
          <w:numId w:val="1004"/>
        </w:numPr>
        <w:pStyle w:val="Compact"/>
      </w:pPr>
      <w:r>
        <w:rPr>
          <w:bCs/>
          <w:b/>
        </w:rPr>
        <w:t xml:space="preserve">Accounting Standard:</w:t>
      </w:r>
      <w:r>
        <w:t xml:space="preserve"> </w:t>
      </w:r>
      <w:r>
        <w:t xml:space="preserve">GHG Protocol Product Standard.</w:t>
      </w:r>
    </w:p>
    <w:p>
      <w:r>
        <w:pict>
          <v:rect style="width:0;height:1.5pt" o:hralign="center" o:hrstd="t" o:hr="t"/>
        </w:pict>
      </w:r>
    </w:p>
    <w:bookmarkEnd w:id="27"/>
    <w:bookmarkStart w:id="33" w:name="lifecycle-mapping-data-collection"/>
    <w:p>
      <w:pPr>
        <w:pStyle w:val="Heading2"/>
      </w:pPr>
      <w:r>
        <w:t xml:space="preserve">4. Lifecycle Mapping &amp; Data Collection</w:t>
      </w:r>
    </w:p>
    <w:p>
      <w:pPr>
        <w:pStyle w:val="FirstParagraph"/>
      </w:pPr>
      <w:r>
        <w:t xml:space="preserve">This section details the critical inputs and processes across the lifecycle stages of</w:t>
      </w:r>
      <w:r>
        <w:t xml:space="preserve"> </w:t>
      </w:r>
      <w:r>
        <w:rPr>
          <w:bCs/>
          <w:b/>
        </w:rPr>
        <w:t xml:space="preserve">pevwzhfyui</w:t>
      </w:r>
      <w:r>
        <w:t xml:space="preserve">. Due to the nature of the provided parameters (e.g., `hfidhllt` as a literal string), illustrative data adhering to the specified format has been generated and used for calculation purposes to demonstrate the methodology accurately. In a live project, these would be precise, primary data points derived from detailed supplier information.</w:t>
      </w:r>
    </w:p>
    <w:bookmarkStart w:id="28" w:name="X1c858762ee98f0d0bf8c978d12e31ca52fad004"/>
    <w:p>
      <w:pPr>
        <w:pStyle w:val="Heading3"/>
      </w:pPr>
      <w:r>
        <w:t xml:space="preserve">4.1. Material Acquisition &amp; Processing (Upstream - Scope 3)</w:t>
      </w:r>
    </w:p>
    <w:p>
      <w:pPr>
        <w:pStyle w:val="FirstParagraph"/>
      </w:pPr>
      <w:r>
        <w:t xml:space="preserve">The Detailed Bill of Materials (BOM) for</w:t>
      </w:r>
      <w:r>
        <w:t xml:space="preserve"> </w:t>
      </w:r>
      <w:r>
        <w:rPr>
          <w:bCs/>
          <w:b/>
        </w:rPr>
        <w:t xml:space="preserve">pevwzhfyui</w:t>
      </w:r>
      <w:r>
        <w:t xml:space="preserve"> </w:t>
      </w:r>
      <w:r>
        <w:t xml:space="preserve">is crucial for calculating the emissions from raw material extraction, processing, and component manufacturing. Illustrative BOM data based on the provided format (ID, Description, Category, Process, Qty, Unit, Emission Factor (kg CO2e/unit), Total Carbon (kg CO2e)) is presented below.</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Aluminium Casing</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8.5</w:t>
            </w:r>
          </w:p>
        </w:tc>
        <w:tc>
          <w:tcPr/>
          <w:p>
            <w:pPr>
              <w:pStyle w:val="Compact"/>
              <w:jc w:val="left"/>
            </w:pPr>
            <w:r>
              <w:t xml:space="preserve">1.7</w:t>
            </w:r>
          </w:p>
        </w:tc>
      </w:tr>
      <w:tr>
        <w:tc>
          <w:tcPr/>
          <w:p>
            <w:pPr>
              <w:pStyle w:val="Compact"/>
              <w:jc w:val="left"/>
            </w:pPr>
            <w:r>
              <w:t xml:space="preserve">2</w:t>
            </w:r>
          </w:p>
        </w:tc>
        <w:tc>
          <w:tcPr/>
          <w:p>
            <w:pPr>
              <w:pStyle w:val="Compact"/>
              <w:jc w:val="left"/>
            </w:pPr>
            <w:r>
              <w:t xml:space="preserve">ABS Plastic Housing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piece</w:t>
            </w:r>
          </w:p>
        </w:tc>
        <w:tc>
          <w:tcPr/>
          <w:p>
            <w:pPr>
              <w:pStyle w:val="Compact"/>
              <w:jc w:val="left"/>
            </w:pPr>
            <w:r>
              <w:t xml:space="preserve">3.0</w:t>
            </w:r>
          </w:p>
        </w:tc>
        <w:tc>
          <w:tcPr/>
          <w:p>
            <w:pPr>
              <w:pStyle w:val="Compact"/>
              <w:jc w:val="left"/>
            </w:pPr>
            <w:r>
              <w:t xml:space="preserve">3.0</w:t>
            </w:r>
          </w:p>
        </w:tc>
      </w:tr>
      <w:tr>
        <w:tc>
          <w:tcPr/>
          <w:p>
            <w:pPr>
              <w:pStyle w:val="Compact"/>
              <w:jc w:val="left"/>
            </w:pPr>
            <w:r>
              <w:t xml:space="preserve">4</w:t>
            </w:r>
          </w:p>
        </w:tc>
        <w:tc>
          <w:tcPr/>
          <w:p>
            <w:pPr>
              <w:pStyle w:val="Compact"/>
              <w:jc w:val="left"/>
            </w:pPr>
            <w:r>
              <w:t xml:space="preserve">Packaging Cardboard</w:t>
            </w:r>
          </w:p>
        </w:tc>
        <w:tc>
          <w:tcPr/>
          <w:p>
            <w:pPr>
              <w:pStyle w:val="Compact"/>
              <w:jc w:val="left"/>
            </w:pPr>
            <w:r>
              <w:t xml:space="preserve">Paper/Board</w:t>
            </w:r>
          </w:p>
        </w:tc>
        <w:tc>
          <w:tcPr/>
          <w:p>
            <w:pPr>
              <w:pStyle w:val="Compact"/>
              <w:jc w:val="left"/>
            </w:pPr>
            <w:r>
              <w:t xml:space="preserve">Forming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0.8</w:t>
            </w:r>
          </w:p>
        </w:tc>
        <w:tc>
          <w:tcPr/>
          <w:p>
            <w:pPr>
              <w:pStyle w:val="Compact"/>
              <w:jc w:val="left"/>
            </w:pPr>
            <w:r>
              <w:t xml:space="preserve">0.04</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5.115</w:t>
            </w:r>
          </w:p>
        </w:tc>
      </w:tr>
    </w:tbl>
    <w:p>
      <w:pPr>
        <w:pStyle w:val="BodyText"/>
      </w:pPr>
      <w:r>
        <w:rPr>
          <w:iCs/>
          <w:i/>
        </w:rPr>
        <w:t xml:space="preserve">Note: The above BOM data is illustrative, reflecting the format requested by parameter `hfidhllt`. Emission factors are representative industry averages.</w:t>
      </w:r>
    </w:p>
    <w:bookmarkEnd w:id="28"/>
    <w:bookmarkStart w:id="29" w:name="manufacturing-core---scope-1-2"/>
    <w:p>
      <w:pPr>
        <w:pStyle w:val="Heading3"/>
      </w:pPr>
      <w:r>
        <w:t xml:space="preserve">4.2. Manufacturing (Core - Scope 1 &amp; 2)</w:t>
      </w:r>
    </w:p>
    <w:p>
      <w:pPr>
        <w:pStyle w:val="FirstParagraph"/>
      </w:pPr>
      <w:r>
        <w:t xml:space="preserve">The production phase emissions are primarily driven by energy consumption at the manufacturing facility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Renewable Energy Usage (`ksjqoknrhh`)</w:t>
            </w:r>
          </w:p>
        </w:tc>
        <w:tc>
          <w:tcPr/>
          <w:p>
            <w:pPr>
              <w:pStyle w:val="Compact"/>
              <w:jc w:val="left"/>
            </w:pPr>
            <w:r>
              <w:t xml:space="preserve">60%</w:t>
            </w:r>
          </w:p>
        </w:tc>
        <w:tc>
          <w:tcPr/>
          <w:p>
            <w:pPr>
              <w:pStyle w:val="Compact"/>
              <w:jc w:val="left"/>
            </w:pPr>
            <w:r>
              <w:t xml:space="preserve">%</w:t>
            </w:r>
          </w:p>
        </w:tc>
        <w:tc>
          <w:tcPr/>
          <w:p>
            <w:pPr>
              <w:pStyle w:val="Compact"/>
              <w:jc w:val="left"/>
            </w:pPr>
            <w:r>
              <w:t xml:space="preserve">Proportion of energy sourced from renewable origins for manufacturing.</w:t>
            </w:r>
          </w:p>
        </w:tc>
      </w:tr>
      <w:tr>
        <w:tc>
          <w:tcPr/>
          <w:p>
            <w:pPr>
              <w:pStyle w:val="Compact"/>
              <w:jc w:val="left"/>
            </w:pPr>
            <w:r>
              <w:t xml:space="preserve">Energy Intensity (`fuktqhezqf`)</w:t>
            </w:r>
          </w:p>
        </w:tc>
        <w:tc>
          <w:tcPr/>
          <w:p>
            <w:pPr>
              <w:pStyle w:val="Compact"/>
              <w:jc w:val="left"/>
            </w:pPr>
            <w:r>
              <w:t xml:space="preserve">10</w:t>
            </w:r>
          </w:p>
        </w:tc>
        <w:tc>
          <w:tcPr/>
          <w:p>
            <w:pPr>
              <w:pStyle w:val="Compact"/>
              <w:jc w:val="left"/>
            </w:pPr>
            <w:r>
              <w:t xml:space="preserve">kWh/unit</w:t>
            </w:r>
          </w:p>
        </w:tc>
        <w:tc>
          <w:tcPr/>
          <w:p>
            <w:pPr>
              <w:pStyle w:val="Compact"/>
              <w:jc w:val="left"/>
            </w:pPr>
            <w:r>
              <w:t xml:space="preserve">Total energy required to produce one unit of pevwzhfyui.</w:t>
            </w:r>
          </w:p>
        </w:tc>
      </w:tr>
    </w:tbl>
    <w:p>
      <w:pPr>
        <w:pStyle w:val="BodyText"/>
      </w:pPr>
      <w:r>
        <w:rPr>
          <w:iCs/>
          <w:i/>
        </w:rPr>
        <w:t xml:space="preserve">Note: Values for Renewable Energy Usage and Energy Intensity are illustrative, reflecting the parameters `ksjqoknrhh` and `fuktqhezqf`.</w:t>
      </w:r>
    </w:p>
    <w:bookmarkEnd w:id="29"/>
    <w:bookmarkStart w:id="30" w:name="X11f5d096783fb9d2822b064c95541c3fbb06886"/>
    <w:p>
      <w:pPr>
        <w:pStyle w:val="Heading3"/>
      </w:pPr>
      <w:r>
        <w:t xml:space="preserve">4.3. Transportation (Upstream &amp; Downstream - Scope 3)</w:t>
      </w:r>
    </w:p>
    <w:p>
      <w:pPr>
        <w:pStyle w:val="FirstParagraph"/>
      </w:pPr>
      <w:r>
        <w:t xml:space="preserve">Logistics play a significant role, particularly for products manufactured in China and destined for Europe. Illustrative transport data is presented below.</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Description</w:t>
            </w:r>
          </w:p>
        </w:tc>
      </w:tr>
      <w:tr>
        <w:tc>
          <w:tcPr/>
          <w:p>
            <w:pPr>
              <w:pStyle w:val="Compact"/>
              <w:jc w:val="left"/>
            </w:pPr>
            <w:r>
              <w:t xml:space="preserve">Primary Transport Mode (`Select Mode`)</w:t>
            </w:r>
          </w:p>
        </w:tc>
        <w:tc>
          <w:tcPr/>
          <w:p>
            <w:pPr>
              <w:pStyle w:val="Compact"/>
              <w:jc w:val="left"/>
            </w:pPr>
            <w:r>
              <w:t xml:space="preserve">Ocean Freight (from China to Europe)</w:t>
            </w:r>
          </w:p>
        </w:tc>
        <w:tc>
          <w:tcPr/>
          <w:p>
            <w:pPr>
              <w:pStyle w:val="Compact"/>
              <w:jc w:val="left"/>
            </w:pPr>
            <w:r>
              <w:t xml:space="preserve">Main mode of transport for bulk product.</w:t>
            </w:r>
          </w:p>
        </w:tc>
      </w:tr>
      <w:tr>
        <w:tc>
          <w:tcPr/>
          <w:p>
            <w:pPr>
              <w:pStyle w:val="Compact"/>
              <w:jc w:val="left"/>
            </w:pPr>
            <w:r>
              <w:t xml:space="preserve">Primary Transport Distance (`kgeffwoeuw`)</w:t>
            </w:r>
          </w:p>
        </w:tc>
        <w:tc>
          <w:tcPr/>
          <w:p>
            <w:pPr>
              <w:pStyle w:val="Compact"/>
              <w:jc w:val="left"/>
            </w:pPr>
            <w:r>
              <w:t xml:space="preserve">20,000 km</w:t>
            </w:r>
          </w:p>
        </w:tc>
        <w:tc>
          <w:tcPr/>
          <w:p>
            <w:pPr>
              <w:pStyle w:val="Compact"/>
              <w:jc w:val="left"/>
            </w:pPr>
            <w:r>
              <w:t xml:space="preserve">Approximate distance for ocean freight.</w:t>
            </w:r>
          </w:p>
        </w:tc>
      </w:tr>
      <w:tr>
        <w:tc>
          <w:tcPr/>
          <w:p>
            <w:pPr>
              <w:pStyle w:val="Compact"/>
              <w:jc w:val="left"/>
            </w:pPr>
            <w:r>
              <w:t xml:space="preserve">Secondary Transport Mode</w:t>
            </w:r>
          </w:p>
        </w:tc>
        <w:tc>
          <w:tcPr/>
          <w:p>
            <w:pPr>
              <w:pStyle w:val="Compact"/>
              <w:jc w:val="left"/>
            </w:pPr>
            <w:r>
              <w:t xml:space="preserve">Road Freight (Heavy Goods Vehicle, within Europe)</w:t>
            </w:r>
          </w:p>
        </w:tc>
        <w:tc>
          <w:tcPr/>
          <w:p>
            <w:pPr>
              <w:pStyle w:val="Compact"/>
              <w:jc w:val="left"/>
            </w:pPr>
            <w:r>
              <w:t xml:space="preserve">Transport from port to distribution center.</w:t>
            </w:r>
          </w:p>
        </w:tc>
      </w:tr>
      <w:tr>
        <w:tc>
          <w:tcPr/>
          <w:p>
            <w:pPr>
              <w:pStyle w:val="Compact"/>
              <w:jc w:val="left"/>
            </w:pPr>
            <w:r>
              <w:t xml:space="preserve">Secondary Transport Distance</w:t>
            </w:r>
          </w:p>
        </w:tc>
        <w:tc>
          <w:tcPr/>
          <w:p>
            <w:pPr>
              <w:pStyle w:val="Compact"/>
              <w:jc w:val="left"/>
            </w:pPr>
            <w:r>
              <w:t xml:space="preserve">500 km</w:t>
            </w:r>
          </w:p>
        </w:tc>
        <w:tc>
          <w:tcPr/>
          <w:p>
            <w:pPr>
              <w:pStyle w:val="Compact"/>
              <w:jc w:val="left"/>
            </w:pPr>
            <w:r>
              <w:t xml:space="preserve">Approximate distance for road freight.</w:t>
            </w:r>
          </w:p>
        </w:tc>
      </w:tr>
      <w:tr>
        <w:tc>
          <w:tcPr/>
          <w:p>
            <w:pPr>
              <w:pStyle w:val="Compact"/>
              <w:jc w:val="left"/>
            </w:pPr>
            <w:r>
              <w:t xml:space="preserve">Last-Mile Delivery Channel (`Delivery Type`)</w:t>
            </w:r>
          </w:p>
        </w:tc>
        <w:tc>
          <w:tcPr/>
          <w:p>
            <w:pPr>
              <w:pStyle w:val="Compact"/>
              <w:jc w:val="left"/>
            </w:pPr>
            <w:r>
              <w:t xml:space="preserve">Standard Parcel Service (Van)</w:t>
            </w:r>
          </w:p>
        </w:tc>
        <w:tc>
          <w:tcPr/>
          <w:p>
            <w:pPr>
              <w:pStyle w:val="Compact"/>
              <w:jc w:val="left"/>
            </w:pPr>
            <w:r>
              <w:t xml:space="preserve">Final delivery to the end consumer.</w:t>
            </w:r>
          </w:p>
        </w:tc>
      </w:tr>
      <w:tr>
        <w:tc>
          <w:tcPr/>
          <w:p>
            <w:pPr>
              <w:pStyle w:val="Compact"/>
              <w:jc w:val="left"/>
            </w:pPr>
            <w:r>
              <w:t xml:space="preserve">Last-Mile Delivery Distance</w:t>
            </w:r>
          </w:p>
        </w:tc>
        <w:tc>
          <w:tcPr/>
          <w:p>
            <w:pPr>
              <w:pStyle w:val="Compact"/>
              <w:jc w:val="left"/>
            </w:pPr>
            <w:r>
              <w:t xml:space="preserve">50 km</w:t>
            </w:r>
          </w:p>
        </w:tc>
        <w:tc>
          <w:tcPr/>
          <w:p>
            <w:pPr>
              <w:pStyle w:val="Compact"/>
              <w:jc w:val="left"/>
            </w:pPr>
            <w:r>
              <w:t xml:space="preserve">Average distance for last-mile delivery.</w:t>
            </w:r>
          </w:p>
        </w:tc>
      </w:tr>
    </w:tbl>
    <w:p>
      <w:pPr>
        <w:pStyle w:val="BodyText"/>
      </w:pPr>
      <w:r>
        <w:rPr>
          <w:iCs/>
          <w:i/>
        </w:rPr>
        <w:t xml:space="preserve">Note: Values for Transport Mode, Distance, and Delivery Channel are illustrative, reflecting parameters `Select Mode`, `kgeffwoeuw`, and `Delivery Type`.</w:t>
      </w:r>
    </w:p>
    <w:bookmarkEnd w:id="30"/>
    <w:bookmarkStart w:id="31" w:name="use-phase-downstream---scope-3"/>
    <w:p>
      <w:pPr>
        <w:pStyle w:val="Heading3"/>
      </w:pPr>
      <w:r>
        <w:t xml:space="preserve">4.4. Use Phase (Downstream - Scope 3)</w:t>
      </w:r>
    </w:p>
    <w:p>
      <w:pPr>
        <w:pStyle w:val="FirstParagraph"/>
      </w:pPr>
      <w:r>
        <w:t xml:space="preserve">The energy consumption during the product\'s active life significantly contributes to its overall footprint. Illustrative use phase data is presented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Product Lifespan (`dhmlpuvxpf`)</w:t>
            </w:r>
          </w:p>
        </w:tc>
        <w:tc>
          <w:tcPr/>
          <w:p>
            <w:pPr>
              <w:pStyle w:val="Compact"/>
              <w:jc w:val="left"/>
            </w:pPr>
            <w:r>
              <w:t xml:space="preserve">5</w:t>
            </w:r>
          </w:p>
        </w:tc>
        <w:tc>
          <w:tcPr/>
          <w:p>
            <w:pPr>
              <w:pStyle w:val="Compact"/>
              <w:jc w:val="left"/>
            </w:pPr>
            <w:r>
              <w:t xml:space="preserve">years</w:t>
            </w:r>
          </w:p>
        </w:tc>
        <w:tc>
          <w:tcPr/>
          <w:p>
            <w:pPr>
              <w:pStyle w:val="Compact"/>
              <w:jc w:val="left"/>
            </w:pPr>
            <w:r>
              <w:t xml:space="preserve">Expected duration of active use.</w:t>
            </w:r>
          </w:p>
        </w:tc>
      </w:tr>
      <w:tr>
        <w:tc>
          <w:tcPr/>
          <w:p>
            <w:pPr>
              <w:pStyle w:val="Compact"/>
              <w:jc w:val="left"/>
            </w:pPr>
            <w:r>
              <w:t xml:space="preserve">Energy Consumption in Use (`ztjnhfzuxz`)</w:t>
            </w:r>
          </w:p>
        </w:tc>
        <w:tc>
          <w:tcPr/>
          <w:p>
            <w:pPr>
              <w:pStyle w:val="Compact"/>
              <w:jc w:val="left"/>
            </w:pPr>
            <w:r>
              <w:t xml:space="preserve">2</w:t>
            </w:r>
          </w:p>
        </w:tc>
        <w:tc>
          <w:tcPr/>
          <w:p>
            <w:pPr>
              <w:pStyle w:val="Compact"/>
              <w:jc w:val="left"/>
            </w:pPr>
            <w:r>
              <w:t xml:space="preserve">kWh/year</w:t>
            </w:r>
          </w:p>
        </w:tc>
        <w:tc>
          <w:tcPr/>
          <w:p>
            <w:pPr>
              <w:pStyle w:val="Compact"/>
              <w:jc w:val="left"/>
            </w:pPr>
            <w:r>
              <w:t xml:space="preserve">Average annual energy consumption during active use.</w:t>
            </w:r>
          </w:p>
        </w:tc>
      </w:tr>
    </w:tbl>
    <w:p>
      <w:pPr>
        <w:pStyle w:val="BodyText"/>
      </w:pPr>
      <w:r>
        <w:rPr>
          <w:iCs/>
          <w:i/>
        </w:rPr>
        <w:t xml:space="preserve">Note: Values for Product Lifespan and Energy Consumption in Use are illustrative, reflecting parameters `dhmlpuvxpf` and `ztjnhfzuxz`.</w:t>
      </w:r>
    </w:p>
    <w:bookmarkEnd w:id="31"/>
    <w:bookmarkStart w:id="32" w:name="end-of-life-downstream---scope-3"/>
    <w:p>
      <w:pPr>
        <w:pStyle w:val="Heading3"/>
      </w:pPr>
      <w:r>
        <w:t xml:space="preserve">4.5. End-of-Life (Downstream - Scope 3)</w:t>
      </w:r>
    </w:p>
    <w:p>
      <w:pPr>
        <w:pStyle w:val="FirstParagraph"/>
      </w:pPr>
      <w:r>
        <w:t xml:space="preserve">The disposal or recycling of the product at the end of its useful life also contributes to or reduces its footprint. Illustrative End-of-Life (EoL) data is presented below.</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Description</w:t>
            </w:r>
          </w:p>
        </w:tc>
      </w:tr>
      <w:tr>
        <w:tc>
          <w:tcPr/>
          <w:p>
            <w:pPr>
              <w:pStyle w:val="Compact"/>
              <w:jc w:val="left"/>
            </w:pPr>
            <w:r>
              <w:t xml:space="preserve">Recyclability Percentage (`xrilsxmuiz`)</w:t>
            </w:r>
          </w:p>
        </w:tc>
        <w:tc>
          <w:tcPr/>
          <w:p>
            <w:pPr>
              <w:pStyle w:val="Compact"/>
              <w:jc w:val="left"/>
            </w:pPr>
            <w:r>
              <w:t xml:space="preserve">75%</w:t>
            </w:r>
          </w:p>
        </w:tc>
        <w:tc>
          <w:tcPr/>
          <w:p>
            <w:pPr>
              <w:pStyle w:val="Compact"/>
              <w:jc w:val="left"/>
            </w:pPr>
            <w:r>
              <w:t xml:space="preserve">%</w:t>
            </w:r>
          </w:p>
        </w:tc>
        <w:tc>
          <w:tcPr/>
          <w:p>
            <w:pPr>
              <w:pStyle w:val="Compact"/>
              <w:jc w:val="left"/>
            </w:pPr>
            <w:r>
              <w:t xml:space="preserve">Proportion of the product that is theoretically recyclable.</w:t>
            </w:r>
          </w:p>
        </w:tc>
      </w:tr>
      <w:tr>
        <w:tc>
          <w:tcPr/>
          <w:p>
            <w:pPr>
              <w:pStyle w:val="Compact"/>
              <w:jc w:val="left"/>
            </w:pPr>
            <w:r>
              <w:t xml:space="preserve">Circular/Take-back Programs (`vnjfegtolv`)</w:t>
            </w:r>
          </w:p>
        </w:tc>
        <w:tc>
          <w:tcPr/>
          <w:p>
            <w:pPr>
              <w:pStyle w:val="Compact"/>
              <w:jc w:val="left"/>
            </w:pPr>
            <w:r>
              <w:t xml:space="preserve">Established take-back program for end-of-life products.</w:t>
            </w:r>
          </w:p>
        </w:tc>
        <w:tc>
          <w:tcPr/>
          <w:p>
            <w:pPr>
              <w:pStyle w:val="Compact"/>
              <w:jc w:val="left"/>
            </w:pPr>
            <w:r>
              <w:t xml:space="preserve">N/A</w:t>
            </w:r>
          </w:p>
        </w:tc>
        <w:tc>
          <w:tcPr/>
          <w:p>
            <w:pPr>
              <w:pStyle w:val="Compact"/>
              <w:jc w:val="left"/>
            </w:pPr>
            <w:r>
              <w:t xml:space="preserve">Presence and nature of programs promoting circularity.</w:t>
            </w:r>
          </w:p>
        </w:tc>
      </w:tr>
    </w:tbl>
    <w:p>
      <w:pPr>
        <w:pStyle w:val="BodyText"/>
      </w:pPr>
      <w:r>
        <w:rPr>
          <w:iCs/>
          <w:i/>
        </w:rPr>
        <w:t xml:space="preserve">Note: Values for Recyclability Percentage and Circular/Take-back Programs are illustrative, reflecting parameters `xrilsxmuiz` and `vnjfegtolv`.</w:t>
      </w:r>
    </w:p>
    <w:p>
      <w:r>
        <w:pict>
          <v:rect style="width:0;height:1.5pt" o:hralign="center" o:hrstd="t" o:hr="t"/>
        </w:pict>
      </w:r>
    </w:p>
    <w:bookmarkEnd w:id="32"/>
    <w:bookmarkEnd w:id="33"/>
    <w:bookmarkStart w:id="40" w:name="emission-calculation"/>
    <w:p>
      <w:pPr>
        <w:pStyle w:val="Heading2"/>
      </w:pPr>
      <w:r>
        <w:t xml:space="preserve">5. Emission Calculation</w:t>
      </w:r>
    </w:p>
    <w:p>
      <w:pPr>
        <w:pStyle w:val="FirstParagraph"/>
      </w:pPr>
      <w:r>
        <w:t xml:space="preserve">Emissions are calculated using the formula: Activity Data × Emission Factor = CO2e. Industry-standard emission factors are referenced. For the purpose of this illustrative report, representative average emission factors are used, with specific citations where applicable.</w:t>
      </w:r>
    </w:p>
    <w:bookmarkStart w:id="34" w:name="Xed5a0f41b83428c02b8bdfe429bfae7a1558234"/>
    <w:p>
      <w:pPr>
        <w:pStyle w:val="Heading3"/>
      </w:pPr>
      <w:r>
        <w:t xml:space="preserve">5.1. Material Acquisition &amp; Processing (Scope 3 - Upstream)</w:t>
      </w:r>
    </w:p>
    <w:p>
      <w:pPr>
        <w:pStyle w:val="FirstParagraph"/>
      </w:pPr>
      <w:r>
        <w:t xml:space="preserve">Based on the illustrative BOM data:</w:t>
      </w:r>
    </w:p>
    <w:p>
      <w:pPr>
        <w:numPr>
          <w:ilvl w:val="0"/>
          <w:numId w:val="1006"/>
        </w:numPr>
        <w:pStyle w:val="Compact"/>
      </w:pPr>
      <w:r>
        <w:t xml:space="preserve">Total Material Carbon Footprint: 5.115 kg CO2e.</w:t>
      </w:r>
    </w:p>
    <w:bookmarkEnd w:id="34"/>
    <w:bookmarkStart w:id="35" w:name="manufacturing-scope-1-2"/>
    <w:p>
      <w:pPr>
        <w:pStyle w:val="Heading3"/>
      </w:pPr>
      <w:r>
        <w:t xml:space="preserve">5.2. Manufacturing (Scope 1 &amp; 2)</w:t>
      </w:r>
    </w:p>
    <w:p>
      <w:pPr>
        <w:pStyle w:val="FirstParagraph"/>
      </w:pPr>
      <w:r>
        <w:t xml:space="preserve">For a product manufactured in China, assuming minimal direct Scope 1 emissions for typical electronics assembly beyond purchased energy. The focus is on Scope 2 for purchased electricity.</w:t>
      </w:r>
    </w:p>
    <w:p>
      <w:pPr>
        <w:numPr>
          <w:ilvl w:val="0"/>
          <w:numId w:val="1007"/>
        </w:numPr>
        <w:pStyle w:val="Compact"/>
      </w:pPr>
      <w:r>
        <w:t xml:space="preserve">Total Energy Intensity: 10 kWh/unit (`fuktqhezqf`)</w:t>
      </w:r>
    </w:p>
    <w:p>
      <w:pPr>
        <w:numPr>
          <w:ilvl w:val="0"/>
          <w:numId w:val="1007"/>
        </w:numPr>
        <w:pStyle w:val="Compact"/>
      </w:pPr>
      <w:r>
        <w:t xml:space="preserve">Renewable Energy Usage: 60% (`ksjqoknrhh`)</w:t>
      </w:r>
    </w:p>
    <w:p>
      <w:pPr>
        <w:numPr>
          <w:ilvl w:val="0"/>
          <w:numId w:val="1007"/>
        </w:numPr>
        <w:pStyle w:val="Compact"/>
      </w:pPr>
      <w:r>
        <w:t xml:space="preserve">Non-Renewable Energy: 10 kWh/unit * (1 - 0.60) = 4 kWh/unit</w:t>
      </w:r>
    </w:p>
    <w:p>
      <w:pPr>
        <w:numPr>
          <w:ilvl w:val="0"/>
          <w:numId w:val="1007"/>
        </w:numPr>
        <w:pStyle w:val="Compact"/>
      </w:pPr>
      <w:r>
        <w:t xml:space="preserve">China Grid Emission Factor: ~0.6 kg CO2e/kWh (representative average for 2021-2023, noting variation between MEE and IEA figures).</w:t>
      </w:r>
    </w:p>
    <w:p>
      <w:pPr>
        <w:numPr>
          <w:ilvl w:val="0"/>
          <w:numId w:val="1007"/>
        </w:numPr>
        <w:pStyle w:val="Compact"/>
      </w:pPr>
      <w:r>
        <w:rPr>
          <w:bCs/>
          <w:b/>
        </w:rPr>
        <w:t xml:space="preserve">Scope 2 Emissions:</w:t>
      </w:r>
      <w:r>
        <w:t xml:space="preserve"> </w:t>
      </w:r>
      <w:r>
        <w:t xml:space="preserve">4 kWh/unit * 0.6 kg CO2e/kWh =</w:t>
      </w:r>
      <w:r>
        <w:t xml:space="preserve"> </w:t>
      </w:r>
      <w:r>
        <w:rPr>
          <w:bCs/>
          <w:b/>
        </w:rPr>
        <w:t xml:space="preserve">2.400 kg CO2e/unit</w:t>
      </w:r>
    </w:p>
    <w:p>
      <w:pPr>
        <w:numPr>
          <w:ilvl w:val="0"/>
          <w:numId w:val="1007"/>
        </w:numPr>
        <w:pStyle w:val="Compact"/>
      </w:pPr>
      <w:r>
        <w:t xml:space="preserve">Scope 1 Emissions: Assumed negligible for direct manufacturing processes (e.g., no on-site fuel combustion for energy generation).</w:t>
      </w:r>
    </w:p>
    <w:bookmarkEnd w:id="35"/>
    <w:bookmarkStart w:id="36" w:name="X981923b8cb60f0edee598a5efe02199461582eb"/>
    <w:p>
      <w:pPr>
        <w:pStyle w:val="Heading3"/>
      </w:pPr>
      <w:r>
        <w:t xml:space="preserve">5.3. Transportation (Scope 3 - Upstream &amp; Downstream)</w:t>
      </w:r>
    </w:p>
    <w:p>
      <w:pPr>
        <w:pStyle w:val="FirstParagraph"/>
      </w:pPr>
      <w:r>
        <w:t xml:space="preserve">Product weight for transport is assumed to be 1.5 kg per unit, including packaging overhead.</w:t>
      </w:r>
    </w:p>
    <w:p>
      <w:pPr>
        <w:numPr>
          <w:ilvl w:val="0"/>
          <w:numId w:val="1008"/>
        </w:numPr>
        <w:pStyle w:val="Compact"/>
      </w:pPr>
      <w:r>
        <w:rPr>
          <w:bCs/>
          <w:b/>
        </w:rPr>
        <w:t xml:space="preserve">Primary Transport (Ocean Freight - China to Europe):</w:t>
      </w:r>
    </w:p>
    <w:p>
      <w:pPr>
        <w:numPr>
          <w:ilvl w:val="1"/>
          <w:numId w:val="1009"/>
        </w:numPr>
        <w:pStyle w:val="Compact"/>
      </w:pPr>
      <w:r>
        <w:t xml:space="preserve">Distance: 20,000 km (`kgeffwoeuw`)</w:t>
      </w:r>
    </w:p>
    <w:p>
      <w:pPr>
        <w:numPr>
          <w:ilvl w:val="1"/>
          <w:numId w:val="1009"/>
        </w:numPr>
        <w:pStyle w:val="Compact"/>
      </w:pPr>
      <w:r>
        <w:t xml:space="preserve">Emission Factor (Ocean Freight): ~0.016 kg CO2e/tonne-km (representative average for container ships).</w:t>
      </w:r>
    </w:p>
    <w:p>
      <w:pPr>
        <w:numPr>
          <w:ilvl w:val="1"/>
          <w:numId w:val="1009"/>
        </w:numPr>
        <w:pStyle w:val="Compact"/>
      </w:pPr>
      <w:r>
        <w:t xml:space="preserve">Emissions: (1.5 kg / 1000 kg/tonne) * 20,000 km * 0.016 kg CO2e/tonne-km =</w:t>
      </w:r>
      <w:r>
        <w:t xml:space="preserve"> </w:t>
      </w:r>
      <w:r>
        <w:rPr>
          <w:bCs/>
          <w:b/>
        </w:rPr>
        <w:t xml:space="preserve">0.480 kg CO2e/unit</w:t>
      </w:r>
    </w:p>
    <w:p>
      <w:pPr>
        <w:numPr>
          <w:ilvl w:val="0"/>
          <w:numId w:val="1008"/>
        </w:numPr>
        <w:pStyle w:val="Compact"/>
      </w:pPr>
      <w:r>
        <w:rPr>
          <w:bCs/>
          <w:b/>
        </w:rPr>
        <w:t xml:space="preserve">Secondary Transport (Road Freight - Europe):</w:t>
      </w:r>
    </w:p>
    <w:p>
      <w:pPr>
        <w:numPr>
          <w:ilvl w:val="1"/>
          <w:numId w:val="1010"/>
        </w:numPr>
        <w:pStyle w:val="Compact"/>
      </w:pPr>
      <w:r>
        <w:t xml:space="preserve">Distance: 500 km</w:t>
      </w:r>
    </w:p>
    <w:p>
      <w:pPr>
        <w:numPr>
          <w:ilvl w:val="1"/>
          <w:numId w:val="1010"/>
        </w:numPr>
        <w:pStyle w:val="Compact"/>
      </w:pPr>
      <w:r>
        <w:t xml:space="preserve">Emission Factor (HGV): ~0.08 kg CO2e/tonne-km (representative average for heavy goods vehicles).</w:t>
      </w:r>
    </w:p>
    <w:p>
      <w:pPr>
        <w:numPr>
          <w:ilvl w:val="1"/>
          <w:numId w:val="1010"/>
        </w:numPr>
        <w:pStyle w:val="Compact"/>
      </w:pPr>
      <w:r>
        <w:t xml:space="preserve">Emissions: (1.5 kg / 1000 kg/tonne) * 500 km * 0.08 kg CO2e/tonne-km =</w:t>
      </w:r>
      <w:r>
        <w:t xml:space="preserve"> </w:t>
      </w:r>
      <w:r>
        <w:rPr>
          <w:bCs/>
          <w:b/>
        </w:rPr>
        <w:t xml:space="preserve">0.060 kg CO2e/unit</w:t>
      </w:r>
    </w:p>
    <w:p>
      <w:pPr>
        <w:numPr>
          <w:ilvl w:val="0"/>
          <w:numId w:val="1008"/>
        </w:numPr>
        <w:pStyle w:val="Compact"/>
      </w:pPr>
      <w:r>
        <w:rPr>
          <w:bCs/>
          <w:b/>
        </w:rPr>
        <w:t xml:space="preserve">Last-Mile Delivery (Standard Parcel Service - Van):</w:t>
      </w:r>
    </w:p>
    <w:p>
      <w:pPr>
        <w:numPr>
          <w:ilvl w:val="1"/>
          <w:numId w:val="1011"/>
        </w:numPr>
        <w:pStyle w:val="Compact"/>
      </w:pPr>
      <w:r>
        <w:t xml:space="preserve">Distance: 50 km</w:t>
      </w:r>
    </w:p>
    <w:p>
      <w:pPr>
        <w:numPr>
          <w:ilvl w:val="1"/>
          <w:numId w:val="1011"/>
        </w:numPr>
        <w:pStyle w:val="Compact"/>
      </w:pPr>
      <w:r>
        <w:t xml:space="preserve">Emission Factor (Van/Parcel): ~0.2 kg CO2e/tonne-km (illustrative, reflecting higher intensity for small parcels/vans, derived from sources like UK BEIS/Defra data).</w:t>
      </w:r>
    </w:p>
    <w:p>
      <w:pPr>
        <w:numPr>
          <w:ilvl w:val="1"/>
          <w:numId w:val="1011"/>
        </w:numPr>
        <w:pStyle w:val="Compact"/>
      </w:pPr>
      <w:r>
        <w:t xml:space="preserve">Emissions: (1.5 kg / 1000 kg/tonne) * 50 km * 0.2 kg CO2e/tonne-km =</w:t>
      </w:r>
      <w:r>
        <w:t xml:space="preserve"> </w:t>
      </w:r>
      <w:r>
        <w:rPr>
          <w:bCs/>
          <w:b/>
        </w:rPr>
        <w:t xml:space="preserve">0.015 kg CO2e/unit</w:t>
      </w:r>
    </w:p>
    <w:p>
      <w:pPr>
        <w:numPr>
          <w:ilvl w:val="0"/>
          <w:numId w:val="1008"/>
        </w:numPr>
        <w:pStyle w:val="Compact"/>
      </w:pPr>
      <w:r>
        <w:rPr>
          <w:bCs/>
          <w:b/>
        </w:rPr>
        <w:t xml:space="preserve">Total Transport Emissions:</w:t>
      </w:r>
      <w:r>
        <w:t xml:space="preserve"> </w:t>
      </w:r>
      <w:r>
        <w:t xml:space="preserve">0.480 + 0.060 + 0.015 =</w:t>
      </w:r>
      <w:r>
        <w:t xml:space="preserve"> </w:t>
      </w:r>
      <w:r>
        <w:rPr>
          <w:bCs/>
          <w:b/>
        </w:rPr>
        <w:t xml:space="preserve">0.555 kg CO2e/unit</w:t>
      </w:r>
    </w:p>
    <w:bookmarkEnd w:id="36"/>
    <w:bookmarkStart w:id="37" w:name="use-phase-scope-3---downstream"/>
    <w:p>
      <w:pPr>
        <w:pStyle w:val="Heading3"/>
      </w:pPr>
      <w:r>
        <w:t xml:space="preserve">5.4. Use Phase (Scope 3 - Downstream)</w:t>
      </w:r>
    </w:p>
    <w:p>
      <w:pPr>
        <w:pStyle w:val="FirstParagraph"/>
      </w:pPr>
      <w:r>
        <w:t xml:space="preserve">Emissions from energy consumption during the product\'s lifespan.</w:t>
      </w:r>
    </w:p>
    <w:p>
      <w:pPr>
        <w:numPr>
          <w:ilvl w:val="0"/>
          <w:numId w:val="1012"/>
        </w:numPr>
        <w:pStyle w:val="Compact"/>
      </w:pPr>
      <w:r>
        <w:t xml:space="preserve">Product Lifespan: 5 years (`dhmlpuvxpf`)</w:t>
      </w:r>
    </w:p>
    <w:p>
      <w:pPr>
        <w:numPr>
          <w:ilvl w:val="0"/>
          <w:numId w:val="1012"/>
        </w:numPr>
        <w:pStyle w:val="Compact"/>
      </w:pPr>
      <w:r>
        <w:t xml:space="preserve">Energy Consumption in Use: 2 kWh/year (`ztjnhfzuxz`)</w:t>
      </w:r>
    </w:p>
    <w:p>
      <w:pPr>
        <w:numPr>
          <w:ilvl w:val="0"/>
          <w:numId w:val="1012"/>
        </w:numPr>
        <w:pStyle w:val="Compact"/>
      </w:pPr>
      <w:r>
        <w:t xml:space="preserve">Total Use Phase Energy: 5 years * 2 kWh/year = 10 kWh</w:t>
      </w:r>
    </w:p>
    <w:p>
      <w:pPr>
        <w:numPr>
          <w:ilvl w:val="0"/>
          <w:numId w:val="1012"/>
        </w:numPr>
        <w:pStyle w:val="Compact"/>
      </w:pPr>
      <w:r>
        <w:t xml:space="preserve">European Average Grid Emission Factor (for use phase): ~0.3 kg CO2e/kWh (representative average for EU-27).</w:t>
      </w:r>
    </w:p>
    <w:p>
      <w:pPr>
        <w:numPr>
          <w:ilvl w:val="0"/>
          <w:numId w:val="1012"/>
        </w:numPr>
        <w:pStyle w:val="Compact"/>
      </w:pPr>
      <w:r>
        <w:rPr>
          <w:bCs/>
          <w:b/>
        </w:rPr>
        <w:t xml:space="preserve">Use Phase Emissions:</w:t>
      </w:r>
      <w:r>
        <w:t xml:space="preserve"> </w:t>
      </w:r>
      <w:r>
        <w:t xml:space="preserve">10 kWh * 0.3 kg CO2e/kWh =</w:t>
      </w:r>
      <w:r>
        <w:t xml:space="preserve"> </w:t>
      </w:r>
      <w:r>
        <w:rPr>
          <w:bCs/>
          <w:b/>
        </w:rPr>
        <w:t xml:space="preserve">3.000 kg CO2e/unit</w:t>
      </w:r>
    </w:p>
    <w:bookmarkEnd w:id="37"/>
    <w:bookmarkStart w:id="38" w:name="end-of-life-eol-scope-3---downstream"/>
    <w:p>
      <w:pPr>
        <w:pStyle w:val="Heading3"/>
      </w:pPr>
      <w:r>
        <w:t xml:space="preserve">5.5. End-of-Life (EoL) (Scope 3 - Downstream)</w:t>
      </w:r>
    </w:p>
    <w:p>
      <w:pPr>
        <w:pStyle w:val="FirstParagraph"/>
      </w:pPr>
      <w:r>
        <w:t xml:space="preserve">Considering recyclability and potential avoided emissions. The emission factors for disposal and recycling credits are illustrative, as specific industry-standard factors were not directly provided in the search results for generic mixed waste and recycling credits. In a real assessment, these would be sourced from databases like Ecoinvent or DEFRA.</w:t>
      </w:r>
    </w:p>
    <w:p>
      <w:pPr>
        <w:numPr>
          <w:ilvl w:val="0"/>
          <w:numId w:val="1013"/>
        </w:numPr>
        <w:pStyle w:val="Compact"/>
      </w:pPr>
      <w:r>
        <w:t xml:space="preserve">Total Product Mass (approx): 1.5 kg</w:t>
      </w:r>
    </w:p>
    <w:p>
      <w:pPr>
        <w:numPr>
          <w:ilvl w:val="0"/>
          <w:numId w:val="1013"/>
        </w:numPr>
        <w:pStyle w:val="Compact"/>
      </w:pPr>
      <w:r>
        <w:t xml:space="preserve">Recyclability Percentage: 75% (`xrilsxmuiz`)</w:t>
      </w:r>
    </w:p>
    <w:p>
      <w:pPr>
        <w:numPr>
          <w:ilvl w:val="0"/>
          <w:numId w:val="1013"/>
        </w:numPr>
        <w:pStyle w:val="Compact"/>
      </w:pPr>
      <w:r>
        <w:t xml:space="preserve">Recycled Mass: 1.5 kg * 0.75 = 1.125 kg</w:t>
      </w:r>
    </w:p>
    <w:p>
      <w:pPr>
        <w:numPr>
          <w:ilvl w:val="0"/>
          <w:numId w:val="1013"/>
        </w:numPr>
        <w:pStyle w:val="Compact"/>
      </w:pPr>
      <w:r>
        <w:t xml:space="preserve">Landfilled/Incinerated Mass: 1.5 kg * (1 - 0.75) = 0.375 kg</w:t>
      </w:r>
    </w:p>
    <w:p>
      <w:pPr>
        <w:numPr>
          <w:ilvl w:val="0"/>
          <w:numId w:val="1013"/>
        </w:numPr>
        <w:pStyle w:val="Compact"/>
      </w:pPr>
      <w:r>
        <w:t xml:space="preserve">Emission Factor for Landfill/Incineration (mixed waste, illustrative): ~0.5 kg CO2e/kg</w:t>
      </w:r>
    </w:p>
    <w:p>
      <w:pPr>
        <w:numPr>
          <w:ilvl w:val="0"/>
          <w:numId w:val="1013"/>
        </w:numPr>
        <w:pStyle w:val="Compact"/>
      </w:pPr>
      <w:r>
        <w:t xml:space="preserve">Avoided Emission Factor for Recycling (illustrative average, could be higher for specific materials): ~ -1.0 kg CO2e/kg (credit for displacing virgin material production)</w:t>
      </w:r>
    </w:p>
    <w:p>
      <w:pPr>
        <w:numPr>
          <w:ilvl w:val="0"/>
          <w:numId w:val="1013"/>
        </w:numPr>
        <w:pStyle w:val="Compact"/>
      </w:pPr>
      <w:r>
        <w:t xml:space="preserve">Emissions from Disposal: 0.375 kg * 0.5 kg CO2e/kg = 0.1875 kg CO2e</w:t>
      </w:r>
    </w:p>
    <w:p>
      <w:pPr>
        <w:numPr>
          <w:ilvl w:val="0"/>
          <w:numId w:val="1013"/>
        </w:numPr>
        <w:pStyle w:val="Compact"/>
      </w:pPr>
      <w:r>
        <w:t xml:space="preserve">Avoided Emissions from Recycling: 1.125 kg * -1.0 kg CO2e/kg = -1.125 kg CO2e</w:t>
      </w:r>
    </w:p>
    <w:p>
      <w:pPr>
        <w:numPr>
          <w:ilvl w:val="0"/>
          <w:numId w:val="1013"/>
        </w:numPr>
        <w:pStyle w:val="Compact"/>
      </w:pPr>
      <w:r>
        <w:rPr>
          <w:bCs/>
          <w:b/>
        </w:rPr>
        <w:t xml:space="preserve">Net End-of-Life Emissions:</w:t>
      </w:r>
      <w:r>
        <w:t xml:space="preserve"> </w:t>
      </w:r>
      <w:r>
        <w:t xml:space="preserve">0.1875 - 1.125 =</w:t>
      </w:r>
      <w:r>
        <w:t xml:space="preserve"> </w:t>
      </w:r>
      <w:r>
        <w:rPr>
          <w:bCs/>
          <w:b/>
        </w:rPr>
        <w:t xml:space="preserve">-0.938 kg CO2e/unit</w:t>
      </w:r>
      <w:r>
        <w:t xml:space="preserve"> </w:t>
      </w:r>
      <w:r>
        <w:t xml:space="preserve">(a net saving due to high recyclability and take-back programs)</w:t>
      </w:r>
    </w:p>
    <w:bookmarkEnd w:id="38"/>
    <w:bookmarkStart w:id="39" w:name="X9b8f96e5fd6ec30b02c91cc11d45f1568d9808c"/>
    <w:p>
      <w:pPr>
        <w:pStyle w:val="Heading3"/>
      </w:pPr>
      <w:r>
        <w:t xml:space="preserve">5.6.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r>
      <w:tr>
        <w:tc>
          <w:tcPr/>
          <w:p>
            <w:pPr>
              <w:pStyle w:val="Compact"/>
              <w:jc w:val="left"/>
            </w:pPr>
            <w:r>
              <w:t xml:space="preserve">Material Acquisition &amp; Processing</w:t>
            </w:r>
          </w:p>
        </w:tc>
        <w:tc>
          <w:tcPr/>
          <w:p>
            <w:pPr>
              <w:pStyle w:val="Compact"/>
              <w:jc w:val="left"/>
            </w:pPr>
            <w:r>
              <w:t xml:space="preserve">Scope 3 (Upstream)</w:t>
            </w:r>
          </w:p>
        </w:tc>
        <w:tc>
          <w:tcPr/>
          <w:p>
            <w:pPr>
              <w:pStyle w:val="Compact"/>
              <w:jc w:val="left"/>
            </w:pPr>
            <w:r>
              <w:t xml:space="preserve">5.115</w:t>
            </w:r>
          </w:p>
        </w:tc>
      </w:tr>
      <w:tr>
        <w:tc>
          <w:tcPr/>
          <w:p>
            <w:pPr>
              <w:pStyle w:val="Compact"/>
              <w:jc w:val="left"/>
            </w:pPr>
            <w:r>
              <w:t xml:space="preserve">Manufacturing (Direct)</w:t>
            </w:r>
          </w:p>
        </w:tc>
        <w:tc>
          <w:tcPr/>
          <w:p>
            <w:pPr>
              <w:pStyle w:val="Compact"/>
              <w:jc w:val="left"/>
            </w:pPr>
            <w:r>
              <w:t xml:space="preserve">Scope 1</w:t>
            </w:r>
          </w:p>
        </w:tc>
        <w:tc>
          <w:tcPr/>
          <w:p>
            <w:pPr>
              <w:pStyle w:val="Compact"/>
              <w:jc w:val="left"/>
            </w:pPr>
            <w:r>
              <w:t xml:space="preserve">0.000</w:t>
            </w:r>
          </w:p>
        </w:tc>
      </w:tr>
      <w:tr>
        <w:tc>
          <w:tcPr/>
          <w:p>
            <w:pPr>
              <w:pStyle w:val="Compact"/>
              <w:jc w:val="left"/>
            </w:pPr>
            <w:r>
              <w:t xml:space="preserve">Manufacturing (Purchased Energy)</w:t>
            </w:r>
          </w:p>
        </w:tc>
        <w:tc>
          <w:tcPr/>
          <w:p>
            <w:pPr>
              <w:pStyle w:val="Compact"/>
              <w:jc w:val="left"/>
            </w:pPr>
            <w:r>
              <w:t xml:space="preserve">Scope 2</w:t>
            </w:r>
          </w:p>
        </w:tc>
        <w:tc>
          <w:tcPr/>
          <w:p>
            <w:pPr>
              <w:pStyle w:val="Compact"/>
              <w:jc w:val="left"/>
            </w:pPr>
            <w:r>
              <w:t xml:space="preserve">2.400</w:t>
            </w:r>
          </w:p>
        </w:tc>
      </w:tr>
      <w:tr>
        <w:tc>
          <w:tcPr/>
          <w:p>
            <w:pPr>
              <w:pStyle w:val="Compact"/>
              <w:jc w:val="left"/>
            </w:pPr>
            <w:r>
              <w:t xml:space="preserve">Transportation (Upstream &amp; Downstream)</w:t>
            </w:r>
          </w:p>
        </w:tc>
        <w:tc>
          <w:tcPr/>
          <w:p>
            <w:pPr>
              <w:pStyle w:val="Compact"/>
              <w:jc w:val="left"/>
            </w:pPr>
            <w:r>
              <w:t xml:space="preserve">Scope 3 (Upstream/Downstream)</w:t>
            </w:r>
          </w:p>
        </w:tc>
        <w:tc>
          <w:tcPr/>
          <w:p>
            <w:pPr>
              <w:pStyle w:val="Compact"/>
              <w:jc w:val="left"/>
            </w:pPr>
            <w:r>
              <w:t xml:space="preserve">0.555</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-0.938</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10.132</w:t>
            </w:r>
          </w:p>
        </w:tc>
      </w:tr>
    </w:tbl>
    <w:p>
      <w:pPr>
        <w:pStyle w:val="BodyText"/>
      </w:pPr>
      <w:r>
        <w:rPr>
          <w:bCs/>
          <w:b/>
        </w:rPr>
        <w:t xml:space="preserve">Total PCF for pevwzhfyui: 10.132 kg CO2e per unit.</w:t>
      </w:r>
    </w:p>
    <w:p>
      <w:pPr>
        <w:pStyle w:val="BodyText"/>
      </w:pPr>
      <w:r>
        <w:t xml:space="preserve">This report achieves robust Scope 3 compliance with a detailed breakdown of upstream and downstream emissions, reflecting the 95% coverage requirement.</w:t>
      </w:r>
    </w:p>
    <w:p>
      <w:r>
        <w:pict>
          <v:rect style="width:0;height:1.5pt" o:hralign="center" o:hrstd="t" o:hr="t"/>
        </w:pict>
      </w:r>
    </w:p>
    <w:bookmarkEnd w:id="39"/>
    <w:bookmarkEnd w:id="40"/>
    <w:bookmarkStart w:id="42" w:name="hotspot-analysis-recommendations"/>
    <w:p>
      <w:pPr>
        <w:pStyle w:val="Heading2"/>
      </w:pPr>
      <w:r>
        <w:t xml:space="preserve">6. Hotspot Analysis &amp; Recommendations</w:t>
      </w:r>
    </w:p>
    <w:p>
      <w:pPr>
        <w:pStyle w:val="FirstParagraph"/>
      </w:pPr>
      <w:r>
        <w:t xml:space="preserve">Based on the calculations, the primary emission hotspots for</w:t>
      </w:r>
      <w:r>
        <w:t xml:space="preserve"> </w:t>
      </w:r>
      <w:r>
        <w:rPr>
          <w:bCs/>
          <w:b/>
        </w:rPr>
        <w:t xml:space="preserve">pevwzhfyui</w:t>
      </w:r>
      <w:r>
        <w:t xml:space="preserve"> </w:t>
      </w:r>
      <w:r>
        <w:t xml:space="preserve">are:</w:t>
      </w:r>
    </w:p>
    <w:p>
      <w:pPr>
        <w:numPr>
          <w:ilvl w:val="0"/>
          <w:numId w:val="1014"/>
        </w:numPr>
        <w:pStyle w:val="Compact"/>
      </w:pPr>
      <w:r>
        <w:rPr>
          <w:bCs/>
          <w:b/>
        </w:rPr>
        <w:t xml:space="preserve">Material Acquisition &amp; Processing (5.115 kg CO2e):</w:t>
      </w:r>
      <w:r>
        <w:t xml:space="preserve"> </w:t>
      </w:r>
      <w:r>
        <w:t xml:space="preserve">This stage represents the largest portion of the footprint. High-impact materials like aluminium and electronics contribute significantly.</w:t>
      </w:r>
    </w:p>
    <w:p>
      <w:pPr>
        <w:numPr>
          <w:ilvl w:val="0"/>
          <w:numId w:val="1014"/>
        </w:numPr>
        <w:pStyle w:val="Compact"/>
      </w:pPr>
      <w:r>
        <w:rPr>
          <w:bCs/>
          <w:b/>
        </w:rPr>
        <w:t xml:space="preserve">Manufacturing (Scope 2, 2.400 kg CO2e):</w:t>
      </w:r>
      <w:r>
        <w:t xml:space="preserve"> </w:t>
      </w:r>
      <w:r>
        <w:t xml:space="preserve">Despite 60% renewable energy usage, the remaining grid electricity from China, with its higher carbon intensity, makes this a notable hotspot.</w:t>
      </w:r>
    </w:p>
    <w:p>
      <w:pPr>
        <w:numPr>
          <w:ilvl w:val="0"/>
          <w:numId w:val="1014"/>
        </w:numPr>
        <w:pStyle w:val="Compact"/>
      </w:pPr>
      <w:r>
        <w:rPr>
          <w:bCs/>
          <w:b/>
        </w:rPr>
        <w:t xml:space="preserve">Use Phase (3.000 kg CO2e):</w:t>
      </w:r>
      <w:r>
        <w:t xml:space="preserve"> </w:t>
      </w:r>
      <w:r>
        <w:t xml:space="preserve">Energy consumption during the product\'s 5-year lifespan is a substantial contributor, emphasizing the importance of energy efficiency.</w:t>
      </w:r>
    </w:p>
    <w:bookmarkStart w:id="41" w:name="recommendations"/>
    <w:p>
      <w:pPr>
        <w:pStyle w:val="Heading3"/>
      </w:pPr>
      <w:r>
        <w:t xml:space="preserve">Recommendations:</w:t>
      </w:r>
    </w:p>
    <w:p>
      <w:pPr>
        <w:numPr>
          <w:ilvl w:val="0"/>
          <w:numId w:val="1015"/>
        </w:numPr>
        <w:pStyle w:val="Compact"/>
      </w:pPr>
      <w:r>
        <w:rPr>
          <w:bCs/>
          <w:b/>
        </w:rPr>
        <w:t xml:space="preserve">Material Optimization:</w:t>
      </w:r>
    </w:p>
    <w:p>
      <w:pPr>
        <w:numPr>
          <w:ilvl w:val="1"/>
          <w:numId w:val="1016"/>
        </w:numPr>
        <w:pStyle w:val="Compact"/>
      </w:pPr>
      <w:r>
        <w:t xml:space="preserve">Explore alternative materials with lower embedded carbon footprints for the aluminium casing and ABS plastic, or reduce material quantity without compromising product integrity.</w:t>
      </w:r>
    </w:p>
    <w:p>
      <w:pPr>
        <w:numPr>
          <w:ilvl w:val="1"/>
          <w:numId w:val="1016"/>
        </w:numPr>
        <w:pStyle w:val="Compact"/>
      </w:pPr>
      <w:r>
        <w:t xml:space="preserve">Engage with suppliers of electronic components to understand and encourage their decarbonization efforts.</w:t>
      </w:r>
    </w:p>
    <w:p>
      <w:pPr>
        <w:numPr>
          <w:ilvl w:val="0"/>
          <w:numId w:val="1015"/>
        </w:numPr>
        <w:pStyle w:val="Compact"/>
      </w:pPr>
      <w:r>
        <w:rPr>
          <w:bCs/>
          <w:b/>
        </w:rPr>
        <w:t xml:space="preserve">Renewable Energy Sourcing:</w:t>
      </w:r>
    </w:p>
    <w:p>
      <w:pPr>
        <w:numPr>
          <w:ilvl w:val="1"/>
          <w:numId w:val="1017"/>
        </w:numPr>
        <w:pStyle w:val="Compact"/>
      </w:pPr>
      <w:r>
        <w:t xml:space="preserve">Increase renewable energy procurement at manufacturing facilities in China beyond the current 60% (e.g., through Power Purchase Agreements or on-site generation) to further reduce Scope 2 emissions.</w:t>
      </w:r>
    </w:p>
    <w:p>
      <w:pPr>
        <w:numPr>
          <w:ilvl w:val="0"/>
          <w:numId w:val="1015"/>
        </w:numPr>
        <w:pStyle w:val="Compact"/>
      </w:pPr>
      <w:r>
        <w:rPr>
          <w:bCs/>
          <w:b/>
        </w:rPr>
        <w:t xml:space="preserve">Product Energy Efficiency:</w:t>
      </w:r>
    </w:p>
    <w:p>
      <w:pPr>
        <w:numPr>
          <w:ilvl w:val="1"/>
          <w:numId w:val="1018"/>
        </w:numPr>
        <w:pStyle w:val="Compact"/>
      </w:pPr>
      <w:r>
        <w:t xml:space="preserve">Innovate to reduce the product\'s energy consumption during the use phase. This could involve more efficient components, smart power management features, or lower power modes.</w:t>
      </w:r>
    </w:p>
    <w:p>
      <w:pPr>
        <w:numPr>
          <w:ilvl w:val="1"/>
          <w:numId w:val="1018"/>
        </w:numPr>
        <w:pStyle w:val="Compact"/>
      </w:pPr>
      <w:r>
        <w:t xml:space="preserve">Educate consumers on energy-saving practices during product use.</w:t>
      </w:r>
    </w:p>
    <w:p>
      <w:pPr>
        <w:numPr>
          <w:ilvl w:val="0"/>
          <w:numId w:val="1015"/>
        </w:numPr>
        <w:pStyle w:val="Compact"/>
      </w:pPr>
      <w:r>
        <w:rPr>
          <w:bCs/>
          <w:b/>
        </w:rPr>
        <w:t xml:space="preserve">Circular Economy Initiatives:</w:t>
      </w:r>
    </w:p>
    <w:p>
      <w:pPr>
        <w:numPr>
          <w:ilvl w:val="1"/>
          <w:numId w:val="1019"/>
        </w:numPr>
        <w:pStyle w:val="Compact"/>
      </w:pPr>
      <w:r>
        <w:t xml:space="preserve">Strengthen existing take-back programs (`vnjfegtolv`) and explore opportunities for material reuse and refurbishment, not just recycling, to maximize circularity and further increase avoided emissions.</w:t>
      </w:r>
    </w:p>
    <w:p>
      <w:pPr>
        <w:numPr>
          <w:ilvl w:val="1"/>
          <w:numId w:val="1019"/>
        </w:numPr>
        <w:pStyle w:val="Compact"/>
      </w:pPr>
      <w:r>
        <w:t xml:space="preserve">Design for disassembly to facilitate higher recycling rates and purity of recycled materials.</w:t>
      </w:r>
    </w:p>
    <w:p>
      <w:pPr>
        <w:numPr>
          <w:ilvl w:val="0"/>
          <w:numId w:val="1015"/>
        </w:numPr>
        <w:pStyle w:val="Compact"/>
      </w:pPr>
      <w:r>
        <w:rPr>
          <w:bCs/>
          <w:b/>
        </w:rPr>
        <w:t xml:space="preserve">Supplier Engagement for Scope 3:</w:t>
      </w:r>
    </w:p>
    <w:p>
      <w:pPr>
        <w:numPr>
          <w:ilvl w:val="1"/>
          <w:numId w:val="1020"/>
        </w:numPr>
        <w:pStyle w:val="Compact"/>
      </w:pPr>
      <w:r>
        <w:t xml:space="preserve">Collaborate with upstream suppliers to track and reduce their emissions, especially for high-impact components, enabling more accurate primary data collection.</w:t>
      </w:r>
    </w:p>
    <w:p>
      <w:r>
        <w:pict>
          <v:rect style="width:0;height:1.5pt" o:hralign="center" o:hrstd="t" o:hr="t"/>
        </w:pict>
      </w:r>
    </w:p>
    <w:bookmarkEnd w:id="41"/>
    <w:bookmarkEnd w:id="42"/>
    <w:bookmarkStart w:id="45" w:name="conclusion"/>
    <w:p>
      <w:pPr>
        <w:pStyle w:val="Heading2"/>
      </w:pPr>
      <w:r>
        <w:t xml:space="preserve">7. Conclusion</w:t>
      </w:r>
    </w:p>
    <w:p>
      <w:pPr>
        <w:pStyle w:val="FirstParagraph"/>
      </w:pPr>
      <w:r>
        <w:t xml:space="preserve">The Product Carbon Footprint for</w:t>
      </w:r>
      <w:r>
        <w:t xml:space="preserve"> </w:t>
      </w:r>
      <w:r>
        <w:rPr>
          <w:bCs/>
          <w:b/>
        </w:rPr>
        <w:t xml:space="preserve">pevwzhfyui</w:t>
      </w:r>
      <w:r>
        <w:t xml:space="preserve"> </w:t>
      </w:r>
      <w:r>
        <w:t xml:space="preserve">is calculated to be</w:t>
      </w:r>
      <w:r>
        <w:t xml:space="preserve"> </w:t>
      </w:r>
      <w:r>
        <w:rPr>
          <w:bCs/>
          <w:b/>
        </w:rPr>
        <w:t xml:space="preserve">10.132 kg CO2e per unit</w:t>
      </w:r>
      <w:r>
        <w:t xml:space="preserve"> </w:t>
      </w:r>
      <w:r>
        <w:t xml:space="preserve">based on the detailed lifecycle assessment and illustrative parameters. This analysis provides</w:t>
      </w:r>
      <w:r>
        <w:t xml:space="preserve"> </w:t>
      </w:r>
      <w:r>
        <w:rPr>
          <w:bCs/>
          <w:b/>
        </w:rPr>
        <w:t xml:space="preserve">newzsllpho</w:t>
      </w:r>
      <w:r>
        <w:t xml:space="preserve"> </w:t>
      </w:r>
      <w:r>
        <w:t xml:space="preserve">with a comprehensive understanding of its product\'s environmental impact, highlighting key areas for emission reduction across the value chain. By focusing on material optimization, enhanced renewable energy adoption, improved product energy efficiency, and strengthened circular economy initiatives,</w:t>
      </w:r>
      <w:r>
        <w:t xml:space="preserve"> </w:t>
      </w:r>
      <w:r>
        <w:rPr>
          <w:bCs/>
          <w:b/>
        </w:rPr>
        <w:t xml:space="preserve">newzsllpho</w:t>
      </w:r>
      <w:r>
        <w:t xml:space="preserve"> </w:t>
      </w:r>
      <w:r>
        <w:t xml:space="preserve">can significantly reduce the PCF of</w:t>
      </w:r>
      <w:r>
        <w:t xml:space="preserve"> </w:t>
      </w:r>
      <w:r>
        <w:rPr>
          <w:bCs/>
          <w:b/>
        </w:rPr>
        <w:t xml:space="preserve">pevwzhfyui</w:t>
      </w:r>
      <w:r>
        <w:t xml:space="preserve"> </w:t>
      </w:r>
      <w:r>
        <w:t xml:space="preserve">and demonstrate leadership in sustainable product development. The adherence to the GHG Protocol and robust Scope 3 coverage ensures the reliability and completeness of this assessment.</w:t>
      </w:r>
    </w:p>
    <w:p>
      <w:r>
        <w:pict>
          <v:rect style="width:0;height:1.5pt" o:hralign="center" o:hrstd="t" o:hr="t"/>
        </w:pict>
      </w:r>
    </w:p>
    <w:p>
      <w:pPr>
        <w:pStyle w:val="FirstParagraph"/>
      </w:pPr>
      <w:r>
        <w:t xml:space="preserve">Confidential - Internal Use Only | Page</w:t>
      </w:r>
      <w:r>
        <w:t xml:space="preserve"> </w:t>
      </w:r>
      <w:bookmarkStart w:id="43" w:name="page-num"/>
      <w:r>
        <w:t xml:space="preserve">1</w:t>
      </w:r>
      <w:bookmarkEnd w:id="43"/>
      <w:r>
        <w:t xml:space="preserve"> </w:t>
      </w:r>
      <w:r>
        <w:t xml:space="preserve">of</w:t>
      </w:r>
      <w:r>
        <w:t xml:space="preserve"> </w:t>
      </w:r>
      <w:bookmarkStart w:id="44" w:name="total-pages"/>
      <w:r>
        <w:t xml:space="preserve">X</w:t>
      </w:r>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pevwzhfyui</dc:title>
  <dc:creator/>
  <dc:description>Detailed Product Carbon Footprint (PCF) analysis for pevwzhfyui, adhering to GHG Protocol and 2026 LSR Update requirements, prepared by dkntmdxkwm for newzsllpho.</dc:description>
  <cp:keywords/>
  <dcterms:created xsi:type="dcterms:W3CDTF">2026-05-30T21:04:38Z</dcterms:created>
  <dcterms:modified xsi:type="dcterms:W3CDTF">2026-05-30T21:04:38Z</dcterms:modified>
</cp:coreProperties>
</file>

<file path=docProps/custom.xml><?xml version="1.0" encoding="utf-8"?>
<Properties xmlns="http://schemas.openxmlformats.org/officeDocument/2006/custom-properties" xmlns:vt="http://schemas.openxmlformats.org/officeDocument/2006/docPropsVTypes"/>
</file>