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pesytsjdxm</w:t>
      </w:r>
    </w:p>
    <w:bookmarkStart w:id="20" w:name="carboncalcpcf.com"/>
    <w:p>
      <w:pPr>
        <w:pStyle w:val="Heading1"/>
      </w:pPr>
      <w:r>
        <w:t xml:space="preserve">carboncalcpcf.com</w:t>
      </w:r>
    </w:p>
    <w:p>
      <w:pPr>
        <w:pStyle w:val="FirstParagraph"/>
      </w:pPr>
      <w:r>
        <w:t xml:space="preserve">Detailed Product Carbon Footprint Analysis Report</w:t>
      </w:r>
    </w:p>
    <w:p>
      <w:pPr>
        <w:pStyle w:val="BodyText"/>
      </w:pPr>
      <w:r>
        <w:rPr>
          <w:bCs/>
          <w:b/>
        </w:rPr>
        <w:t xml:space="preserve">Product:</w:t>
      </w:r>
      <w:r>
        <w:t xml:space="preserve"> </w:t>
      </w:r>
      <w:r>
        <w:t xml:space="preserve">pesytsjdxm</w:t>
      </w:r>
    </w:p>
    <w:p>
      <w:pPr>
        <w:pStyle w:val="BodyText"/>
      </w:pPr>
      <w:r>
        <w:rPr>
          <w:bCs/>
          <w:b/>
        </w:rPr>
        <w:t xml:space="preserve">Company Name:</w:t>
      </w:r>
      <w:r>
        <w:t xml:space="preserve"> </w:t>
      </w:r>
      <w:r>
        <w:t xml:space="preserve">osvusnwjgf</w:t>
      </w:r>
    </w:p>
    <w:p>
      <w:pPr>
        <w:pStyle w:val="BodyText"/>
      </w:pPr>
      <w:r>
        <w:rPr>
          <w:bCs/>
          <w:b/>
        </w:rPr>
        <w:t xml:space="preserve">Senior Sustainability Consultant:</w:t>
      </w:r>
      <w:r>
        <w:t xml:space="preserve"> </w:t>
      </w:r>
      <w:r>
        <w:t xml:space="preserve">hetuktiked</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real-world conditions and data availability. Assumptions made for placeholder parameters are explicitly stated within the report.</w:t>
      </w:r>
    </w:p>
    <w:bookmarkEnd w:id="20"/>
    <w:bookmarkStart w:id="51" w:name="product-carbon-footprint-report"/>
    <w:p>
      <w:pPr>
        <w:pStyle w:val="Heading1"/>
      </w:pPr>
      <w:r>
        <w:t xml:space="preserve">Product Carbon Footprint Report</w:t>
      </w:r>
    </w:p>
    <w:bookmarkStart w:id="21" w:name="product-pesytsjdxm"/>
    <w:p>
      <w:pPr>
        <w:pStyle w:val="Heading2"/>
      </w:pPr>
      <w:r>
        <w:t xml:space="preserve">Product: pesytsjdxm</w:t>
      </w:r>
    </w:p>
    <w:p>
      <w:pPr>
        <w:pStyle w:val="FirstParagraph"/>
      </w:pPr>
      <w:r>
        <w:rPr>
          <w:bCs/>
          <w:b/>
        </w:rPr>
        <w:t xml:space="preserve">Generated 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"pesytsjdxm" manufactured by "osvusnwjgf". Conducted by Senior Sustainability Consultant "hetuktiked", this analysis adheres strictly to the GHG Protocol, including the 2026 Land Sector and Removals (LSR) Standard and stringent Scope 3 coverage requirements. The PCF quantifies the greenhouse gas emissions associated with the product\'s entire lifecycle, from raw material extraction to end-of-life, providing critical insights for sustainability improvements and strategic decision-making.</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increasing environmental concerns and regulatory pressures, understanding the carbon footprint of products is paramount for businesses committed to sustainability. This report serves as a comprehensive assessment of the Product Carbon Footprint (PCF) for "pesytsjdxm", produced by "osvusnwjgf". The analysis identifies emission hotspots across the product\'s lifecycle, providing a robust foundation for targeted emission reduction strategies.</w:t>
      </w:r>
    </w:p>
    <w:p>
      <w:pPr>
        <w:pStyle w:val="BodyText"/>
      </w:pPr>
      <w:r>
        <w:t xml:space="preserve">The study strictly follows the principles and requirements of the GHG Protocol, the most widely used international accounting standard for quantifying greenhouse gas (GHG) emissions. This includes categorization into Scope 1 (direct emissions), Scope 2 (indirect emissions from purchased energy), and Scope 3 (all other indirect emissions in the value chain). Special attention has been given to achieving at least 95% coverage for Scope 3 reporting, in line with 2026 compliance requirements, and integrating the Land Sector and Removals (LSR) Standard where applicable.</w:t>
      </w:r>
    </w:p>
    <w:p>
      <w:r>
        <w:pict>
          <v:rect style="width:0;height:1.5pt" o:hralign="center" o:hrstd="t" o:hr="t"/>
        </w:pict>
      </w:r>
    </w:p>
    <w:bookmarkEnd w:id="23"/>
    <w:bookmarkStart w:id="26" w:name="methodology"/>
    <w:p>
      <w:pPr>
        <w:pStyle w:val="Heading2"/>
      </w:pPr>
      <w:r>
        <w:t xml:space="preserve">2. Methodology</w:t>
      </w:r>
    </w:p>
    <w:p>
      <w:pPr>
        <w:pStyle w:val="FirstParagraph"/>
      </w:pPr>
      <w:r>
        <w:t xml:space="preserve">The Product Carbon Footprint (PCF) analysis was performed following a five-step methodology, in strict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waste management.</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(Activity Data × Emission Factor = CO2e).</w:t>
      </w:r>
    </w:p>
    <w:p>
      <w:pPr>
        <w:numPr>
          <w:ilvl w:val="0"/>
          <w:numId w:val="1001"/>
        </w:numPr>
        <w:pStyle w:val="Compact"/>
      </w:pPr>
      <w:r>
        <w:rPr>
          <w:bCs/>
          <w:b/>
        </w:rPr>
        <w:t xml:space="preserve">Review &amp; Report:</w:t>
      </w:r>
      <w:r>
        <w:t xml:space="preserve"> </w:t>
      </w:r>
      <w:r>
        <w:t xml:space="preserve">Analyze results, identify emission hotspots, assess data reliability, and report findings.</w:t>
      </w:r>
    </w:p>
    <w:bookmarkStart w:id="24" w:name="adherence-to-ghg-protocol"/>
    <w:p>
      <w:pPr>
        <w:pStyle w:val="Heading3"/>
      </w:pPr>
      <w:r>
        <w:t xml:space="preserve">2.1. Adherence to GHG Protocol</w:t>
      </w:r>
    </w:p>
    <w:p>
      <w:pPr>
        <w:pStyle w:val="FirstParagraph"/>
      </w:pPr>
      <w:r>
        <w:t xml:space="preserve">Emissions are categorized into the following scopes:</w:t>
      </w:r>
    </w:p>
    <w:p>
      <w:pPr>
        <w:numPr>
          <w:ilvl w:val="0"/>
          <w:numId w:val="1002"/>
        </w:numPr>
        <w:pStyle w:val="Compact"/>
      </w:pPr>
      <w:r>
        <w:rPr>
          <w:bCs/>
          <w:b/>
        </w:rPr>
        <w:t xml:space="preserve">Scope 1:</w:t>
      </w:r>
      <w:r>
        <w:t xml:space="preserve"> </w:t>
      </w:r>
      <w:r>
        <w:t xml:space="preserve">Direct GHG emissions from sources owned or controlled by osvusnwjgf (e.g., manufacturing processes, owned vehicles).</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osvusnwjgf.</w:t>
      </w:r>
    </w:p>
    <w:p>
      <w:pPr>
        <w:numPr>
          <w:ilvl w:val="0"/>
          <w:numId w:val="1002"/>
        </w:numPr>
        <w:pStyle w:val="Compact"/>
      </w:pPr>
      <w:r>
        <w:rPr>
          <w:bCs/>
          <w:b/>
        </w:rPr>
        <w:t xml:space="preserve">Scope 3:</w:t>
      </w:r>
      <w:r>
        <w:t xml:space="preserve"> </w:t>
      </w:r>
      <w:r>
        <w:t xml:space="preserve">All other indirect GHG emissions that occur in the value chain of osvusnwjgf, both upstream and downstream. This includes emissions from raw material extraction, transportation, product use, and end-of-life treatment. This report ensures at least 95% coverage for Scope 3 emissions, aligning with 2026 reporting requirements.</w:t>
      </w:r>
    </w:p>
    <w:bookmarkEnd w:id="24"/>
    <w:bookmarkStart w:id="25" w:name="lsr-update"/>
    <w:p>
      <w:pPr>
        <w:pStyle w:val="Heading3"/>
      </w:pPr>
      <w:r>
        <w:t xml:space="preserve">2.2. 2026 LSR Update</w:t>
      </w:r>
    </w:p>
    <w:p>
      <w:pPr>
        <w:pStyle w:val="FirstParagraph"/>
      </w:pPr>
      <w:r>
        <w:t xml:space="preserve">The analysis applies the Land Sector and Removals (LSR) Standard, addressing land use and land-use change emissions and carbon removals. While specific land use data for the product components were not provided, potential impacts related to raw material sourcing (e.g., agriculture, forestry) are considered conceptually within the upstream Scope 3 emissions, highlighting the need for detailed supply chain tracing where relevant.</w:t>
      </w:r>
    </w:p>
    <w:p>
      <w:r>
        <w:pict>
          <v:rect style="width:0;height:1.5pt" o:hralign="center" o:hrstd="t" o:hr="t"/>
        </w:pict>
      </w:r>
    </w:p>
    <w:bookmarkEnd w:id="25"/>
    <w:bookmarkEnd w:id="26"/>
    <w:bookmarkStart w:id="27" w:name="define-scope-step-1"/>
    <w:p>
      <w:pPr>
        <w:pStyle w:val="Heading2"/>
      </w:pPr>
      <w:r>
        <w:t xml:space="preserve">3. Define Scope (Step 1)</w:t>
      </w:r>
    </w:p>
    <w:p>
      <w:pPr>
        <w:numPr>
          <w:ilvl w:val="0"/>
          <w:numId w:val="1003"/>
        </w:numPr>
        <w:pStyle w:val="Compact"/>
      </w:pPr>
      <w:r>
        <w:rPr>
          <w:bCs/>
          <w:b/>
        </w:rPr>
        <w:t xml:space="preserve">Functional Unit:</w:t>
      </w:r>
      <w:r>
        <w:t xml:space="preserve"> </w:t>
      </w:r>
      <w:r>
        <w:t xml:space="preserve">1.0 unit of pesytsjdxm. This represents the reference unit for which the PCF is calculated, ensuring comparability.</w:t>
      </w:r>
    </w:p>
    <w:p>
      <w:pPr>
        <w:numPr>
          <w:ilvl w:val="0"/>
          <w:numId w:val="1003"/>
        </w:numPr>
        <w:pStyle w:val="Compact"/>
      </w:pPr>
      <w:r>
        <w:rPr>
          <w:bCs/>
          <w:b/>
        </w:rPr>
        <w:t xml:space="preserve">System Boundary:</w:t>
      </w:r>
      <w:r>
        <w:t xml:space="preserve"> </w:t>
      </w:r>
      <w:r>
        <w:t xml:space="preserve">factory_gate. This boundary encompasses emissions from raw material acquisition, transportation to the manufacturing facility, and the manufacturing processes up to the point the finished product leaves the factory gate. Emissions beyond the factory gate (e.g., downstream transportation, use phase, end-of-life) are included as Scope 3 emissions.</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Where co-production or multi-functional processes occur, emissions are allocated based on physical (e.g., mass, volume) or economic (e.g., market value) relationships, following GHG Protocol guidance to prevent double-counting or omission.</w:t>
      </w:r>
    </w:p>
    <w:p>
      <w:r>
        <w:pict>
          <v:rect style="width:0;height:1.5pt" o:hralign="center" o:hrstd="t" o:hr="t"/>
        </w:pict>
      </w:r>
    </w:p>
    <w:bookmarkEnd w:id="27"/>
    <w:bookmarkStart w:id="33" w:name="map-lifecycle-collect-data-steps-2-3"/>
    <w:p>
      <w:pPr>
        <w:pStyle w:val="Heading2"/>
      </w:pPr>
      <w:r>
        <w:t xml:space="preserve">4. Map Lifecycle &amp; Collect Data (Steps 2 &amp; 3)</w:t>
      </w:r>
    </w:p>
    <w:p>
      <w:pPr>
        <w:pStyle w:val="FirstParagraph"/>
      </w:pPr>
      <w:r>
        <w:t xml:space="preserve">This section details the inputs for each lifecycle stage, leveraging the provided parameters and making necessary assumptions for placeholders.</w:t>
      </w:r>
    </w:p>
    <w:bookmarkStart w:id="28" w:name="X1c858762ee98f0d0bf8c978d12e31ca52fad004"/>
    <w:p>
      <w:pPr>
        <w:pStyle w:val="Heading3"/>
      </w:pPr>
      <w:r>
        <w:t xml:space="preserve">4.1. Material Acquisition &amp; Processing (Upstream - Scope 3)</w:t>
      </w:r>
    </w:p>
    <w:p>
      <w:pPr>
        <w:pStyle w:val="FirstParagraph"/>
      </w:pPr>
      <w:r>
        <w:t xml:space="preserve">The Detailed Bill of Materials (BOM), provided as "udduorwz", is crucial for high-accuracy material impact calculation. For the purpose of this report, the following representative BOM data adhering to the specified format (ID, Description, Category, Process, Qty, Unit, Emission Factor, Total Carbon) is used to demonstrate the calculation. The \'Total Carbon\' values represent the embedded emissions for each material item at the factory gate, including raw material extraction and processing.</w:t>
      </w:r>
    </w:p>
    <w:p>
      <w:pPr>
        <w:pStyle w:val="BodyText"/>
      </w:pPr>
      <w:r>
        <w:rPr>
          <w:bCs/>
          <w:b/>
        </w:rPr>
        <w:t xml:space="preserve">Detailed Bill of Materials (Illustrative based on \'udduorwz\'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1001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1003</w:t>
            </w:r>
          </w:p>
        </w:tc>
        <w:tc>
          <w:tcPr/>
          <w:p>
            <w:pPr>
              <w:pStyle w:val="Compact"/>
              <w:jc w:val="left"/>
            </w:pPr>
            <w:r>
              <w:t xml:space="preserve">Battery Pack</w:t>
            </w:r>
          </w:p>
        </w:tc>
        <w:tc>
          <w:tcPr/>
          <w:p>
            <w:pPr>
              <w:pStyle w:val="Compact"/>
              <w:jc w:val="left"/>
            </w:pPr>
            <w:r>
              <w:t xml:space="preserve">Chemical</w:t>
            </w:r>
          </w:p>
        </w:tc>
        <w:tc>
          <w:tcPr/>
          <w:p>
            <w:pPr>
              <w:pStyle w:val="Compact"/>
              <w:jc w:val="left"/>
            </w:pPr>
            <w:r>
              <w:t xml:space="preserve">Cell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1004</w:t>
            </w:r>
          </w:p>
        </w:tc>
        <w:tc>
          <w:tcPr/>
          <w:p>
            <w:pPr>
              <w:pStyle w:val="Compact"/>
              <w:jc w:val="left"/>
            </w:pPr>
            <w:r>
              <w:t xml:space="preserve">Wiring Harness</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1005</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Recycled Pulp</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bCs/>
          <w:b/>
        </w:rPr>
        <w:t xml:space="preserve">Total Material Embedded Carbon:</w:t>
      </w:r>
      <w:r>
        <w:t xml:space="preserve"> </w:t>
      </w:r>
      <w:r>
        <w:t xml:space="preserve">9.89 kg CO2e</w:t>
      </w:r>
    </w:p>
    <w:bookmarkEnd w:id="28"/>
    <w:bookmarkStart w:id="29" w:name="X8a60414730b56c5cde3a22101eb35ad4775e0e6"/>
    <w:p>
      <w:pPr>
        <w:pStyle w:val="Heading3"/>
      </w:pPr>
      <w:r>
        <w:t xml:space="preserve">4.2. Production Phase (Manufacturing - Scope 1 &amp; 2)</w:t>
      </w:r>
    </w:p>
    <w:p>
      <w:pPr>
        <w:numPr>
          <w:ilvl w:val="0"/>
          <w:numId w:val="1005"/>
        </w:numPr>
        <w:pStyle w:val="Compact"/>
      </w:pPr>
      <w:r>
        <w:rPr>
          <w:bCs/>
          <w:b/>
        </w:rPr>
        <w:t xml:space="preserve">Energy Intensity (kWh/unit):</w:t>
      </w:r>
      <w:r>
        <w:t xml:space="preserve"> </w:t>
      </w:r>
      <w:r>
        <w:t xml:space="preserve">15 kWh/unit (Placeholder for \'dzutvlvnxs\')</w:t>
      </w:r>
    </w:p>
    <w:p>
      <w:pPr>
        <w:numPr>
          <w:ilvl w:val="0"/>
          <w:numId w:val="1005"/>
        </w:numPr>
        <w:pStyle w:val="Compact"/>
      </w:pPr>
      <w:r>
        <w:rPr>
          <w:bCs/>
          <w:b/>
        </w:rPr>
        <w:t xml:space="preserve">Renewable Energy Usage:</w:t>
      </w:r>
      <w:r>
        <w:t xml:space="preserve"> </w:t>
      </w:r>
      <w:r>
        <w:t xml:space="preserve">70% (Placeholder for \'srhxffmhrg\')</w:t>
      </w:r>
    </w:p>
    <w:p>
      <w:pPr>
        <w:numPr>
          <w:ilvl w:val="1"/>
          <w:numId w:val="1006"/>
        </w:numPr>
        <w:pStyle w:val="Compact"/>
      </w:pPr>
      <w:r>
        <w:t xml:space="preserve">Non-renewable energy: (1 - 0.70) * 15 kWh/unit = 4.5 kWh/unit</w:t>
      </w:r>
    </w:p>
    <w:p>
      <w:pPr>
        <w:numPr>
          <w:ilvl w:val="1"/>
          <w:numId w:val="1006"/>
        </w:numPr>
        <w:pStyle w:val="Compact"/>
      </w:pPr>
      <w:r>
        <w:t xml:space="preserve">Renewable energy: 0.70 * 15 kWh/unit = 10.5 kWh/unit</w:t>
      </w:r>
    </w:p>
    <w:p>
      <w:pPr>
        <w:numPr>
          <w:ilvl w:val="0"/>
          <w:numId w:val="1005"/>
        </w:numPr>
        <w:pStyle w:val="Compact"/>
      </w:pPr>
      <w:r>
        <w:rPr>
          <w:bCs/>
          <w:b/>
        </w:rPr>
        <w:t xml:space="preserve">Electricity Grid Emission Factor (China):</w:t>
      </w:r>
      <w:r>
        <w:t xml:space="preserve"> </w:t>
      </w:r>
      <w:r>
        <w:t xml:space="preserve">0.7 kg CO2e/kWh (Illustrative, based on average coal-dominant grid mix).</w:t>
      </w:r>
    </w:p>
    <w:p>
      <w:pPr>
        <w:numPr>
          <w:ilvl w:val="0"/>
          <w:numId w:val="1005"/>
        </w:numPr>
        <w:pStyle w:val="Compact"/>
      </w:pPr>
      <w:r>
        <w:rPr>
          <w:bCs/>
          <w:b/>
        </w:rPr>
        <w:t xml:space="preserve">Scope 1 Emissions:</w:t>
      </w:r>
      <w:r>
        <w:t xml:space="preserve"> </w:t>
      </w:r>
      <w:r>
        <w:t xml:space="preserve">(Assumed negligible for direct process emissions without specific fuel combustion data, but would include on-site fuel use if present).</w:t>
      </w:r>
    </w:p>
    <w:bookmarkEnd w:id="29"/>
    <w:bookmarkStart w:id="30" w:name="X11f5d096783fb9d2822b064c95541c3fbb06886"/>
    <w:p>
      <w:pPr>
        <w:pStyle w:val="Heading3"/>
      </w:pPr>
      <w:r>
        <w:t xml:space="preserve">4.3. Transportation (Upstream &amp; Downstream - Scope 3)</w:t>
      </w:r>
    </w:p>
    <w:p>
      <w:pPr>
        <w:pStyle w:val="FirstParagraph"/>
      </w:pPr>
      <w:r>
        <w:t xml:space="preserve">Logistics data is incorporated into the supply chain analysis.</w:t>
      </w:r>
    </w:p>
    <w:p>
      <w:pPr>
        <w:numPr>
          <w:ilvl w:val="0"/>
          <w:numId w:val="1007"/>
        </w:numPr>
        <w:pStyle w:val="Compact"/>
      </w:pPr>
      <w:r>
        <w:rPr>
          <w:bCs/>
          <w:b/>
        </w:rPr>
        <w:t xml:space="preserve">Upstream Transport (Raw materials to factory):</w:t>
      </w:r>
    </w:p>
    <w:p>
      <w:pPr>
        <w:numPr>
          <w:ilvl w:val="1"/>
          <w:numId w:val="1008"/>
        </w:numPr>
        <w:pStyle w:val="Compact"/>
      </w:pPr>
      <w:r>
        <w:rPr>
          <w:bCs/>
          <w:b/>
        </w:rPr>
        <w:t xml:space="preserve">Transport Mode:</w:t>
      </w:r>
      <w:r>
        <w:t xml:space="preserve"> </w:t>
      </w:r>
      <w:r>
        <w:t xml:space="preserve">Road Freight (Heavy Goods Vehicle) (Placeholder for \'Select Mode\').</w:t>
      </w:r>
    </w:p>
    <w:p>
      <w:pPr>
        <w:numPr>
          <w:ilvl w:val="1"/>
          <w:numId w:val="1008"/>
        </w:numPr>
        <w:pStyle w:val="Compact"/>
      </w:pPr>
      <w:r>
        <w:rPr>
          <w:bCs/>
          <w:b/>
        </w:rPr>
        <w:t xml:space="preserve">Transport Distance:</w:t>
      </w:r>
      <w:r>
        <w:t xml:space="preserve"> </w:t>
      </w:r>
      <w:r>
        <w:t xml:space="preserve">2000 km (Placeholder for \'yrlfglhlek\').</w:t>
      </w:r>
    </w:p>
    <w:p>
      <w:pPr>
        <w:numPr>
          <w:ilvl w:val="1"/>
          <w:numId w:val="1008"/>
        </w:numPr>
        <w:pStyle w:val="Compact"/>
      </w:pPr>
      <w:r>
        <w:rPr>
          <w:bCs/>
          <w:b/>
        </w:rPr>
        <w:t xml:space="preserve">Assumed Product Weight:</w:t>
      </w:r>
      <w:r>
        <w:t xml:space="preserve"> </w:t>
      </w:r>
      <w:r>
        <w:t xml:space="preserve">Approximately 1.5 kg per unit (sum of material quantities + estimated minor components).</w:t>
      </w:r>
    </w:p>
    <w:p>
      <w:pPr>
        <w:numPr>
          <w:ilvl w:val="1"/>
          <w:numId w:val="1008"/>
        </w:numPr>
        <w:pStyle w:val="Compact"/>
      </w:pPr>
      <w:r>
        <w:rPr>
          <w:bCs/>
          <w:b/>
        </w:rPr>
        <w:t xml:space="preserve">Emission Factor (Road Freight):</w:t>
      </w:r>
      <w:r>
        <w:t xml:space="preserve"> </w:t>
      </w:r>
      <w:r>
        <w:t xml:space="preserve">0.08 kg CO2e/tonne-km (Illustrative, based on industry averages for efficient HGV).</w:t>
      </w:r>
    </w:p>
    <w:p>
      <w:pPr>
        <w:numPr>
          <w:ilvl w:val="0"/>
          <w:numId w:val="1007"/>
        </w:numPr>
        <w:pStyle w:val="Compact"/>
      </w:pPr>
      <w:r>
        <w:rPr>
          <w:bCs/>
          <w:b/>
        </w:rPr>
        <w:t xml:space="preserve">Downstream Transport (Last-Mile Delivery):</w:t>
      </w:r>
    </w:p>
    <w:p>
      <w:pPr>
        <w:numPr>
          <w:ilvl w:val="1"/>
          <w:numId w:val="1009"/>
        </w:numPr>
        <w:pStyle w:val="Compact"/>
      </w:pPr>
      <w:r>
        <w:rPr>
          <w:bCs/>
          <w:b/>
        </w:rPr>
        <w:t xml:space="preserve">Last-Mile Delivery Channel:</w:t>
      </w:r>
      <w:r>
        <w:t xml:space="preserve"> </w:t>
      </w:r>
      <w:r>
        <w:t xml:space="preserve">Parcel Delivery Van (Placeholder for \'Delivery Type\').</w:t>
      </w:r>
    </w:p>
    <w:p>
      <w:pPr>
        <w:numPr>
          <w:ilvl w:val="1"/>
          <w:numId w:val="1009"/>
        </w:numPr>
        <w:pStyle w:val="Compact"/>
      </w:pPr>
      <w:r>
        <w:rPr>
          <w:bCs/>
          <w:b/>
        </w:rPr>
        <w:t xml:space="preserve">Assumed Distance for Last Mile:</w:t>
      </w:r>
      <w:r>
        <w:t xml:space="preserve"> </w:t>
      </w:r>
      <w:r>
        <w:t xml:space="preserve">50 km per unit (Illustrative, from distribution center to end-customer).</w:t>
      </w:r>
    </w:p>
    <w:p>
      <w:pPr>
        <w:numPr>
          <w:ilvl w:val="1"/>
          <w:numId w:val="1009"/>
        </w:numPr>
        <w:pStyle w:val="Compact"/>
      </w:pPr>
      <w:r>
        <w:rPr>
          <w:bCs/>
          <w:b/>
        </w:rPr>
        <w:t xml:space="preserve">Emission Factor (Parcel Delivery Van):</w:t>
      </w:r>
      <w:r>
        <w:t xml:space="preserve"> </w:t>
      </w:r>
      <w:r>
        <w:t xml:space="preserve">0.3 kg CO2e/km (Illustrative, considering smaller vehicle and stop-and-go traffic).</w:t>
      </w:r>
    </w:p>
    <w:bookmarkEnd w:id="30"/>
    <w:bookmarkStart w:id="31" w:name="use-phase-downstream---scope-3"/>
    <w:p>
      <w:pPr>
        <w:pStyle w:val="Heading3"/>
      </w:pPr>
      <w:r>
        <w:t xml:space="preserve">4.4. Use Phase (Downstream - Scope 3)</w:t>
      </w:r>
    </w:p>
    <w:p>
      <w:pPr>
        <w:pStyle w:val="FirstParagraph"/>
      </w:pPr>
      <w:r>
        <w:t xml:space="preserve">The use phase calculation uses specific durability and consumption data.</w:t>
      </w:r>
    </w:p>
    <w:p>
      <w:pPr>
        <w:numPr>
          <w:ilvl w:val="0"/>
          <w:numId w:val="1010"/>
        </w:numPr>
        <w:pStyle w:val="Compact"/>
      </w:pPr>
      <w:r>
        <w:rPr>
          <w:bCs/>
          <w:b/>
        </w:rPr>
        <w:t xml:space="preserve">Product Lifespan:</w:t>
      </w:r>
      <w:r>
        <w:t xml:space="preserve"> </w:t>
      </w:r>
      <w:r>
        <w:t xml:space="preserve">3 years (Placeholder for \'pkvkhldigo\').</w:t>
      </w:r>
    </w:p>
    <w:p>
      <w:pPr>
        <w:numPr>
          <w:ilvl w:val="0"/>
          <w:numId w:val="1010"/>
        </w:numPr>
        <w:pStyle w:val="Compact"/>
      </w:pPr>
      <w:r>
        <w:rPr>
          <w:bCs/>
          <w:b/>
        </w:rPr>
        <w:t xml:space="preserve">Energy Consumption in Use:</w:t>
      </w:r>
      <w:r>
        <w:t xml:space="preserve"> </w:t>
      </w:r>
      <w:r>
        <w:t xml:space="preserve">20 kWh/year (Placeholder for \'mewuregqlg\').</w:t>
      </w:r>
    </w:p>
    <w:p>
      <w:pPr>
        <w:numPr>
          <w:ilvl w:val="0"/>
          <w:numId w:val="1010"/>
        </w:numPr>
        <w:pStyle w:val="Compact"/>
      </w:pPr>
      <w:r>
        <w:rPr>
          <w:bCs/>
          <w:b/>
        </w:rPr>
        <w:t xml:space="preserve">Total Use Phase Energy:</w:t>
      </w:r>
      <w:r>
        <w:t xml:space="preserve"> </w:t>
      </w:r>
      <w:r>
        <w:t xml:space="preserve">20 kWh/year * 3 years = 60 kWh/unit.</w:t>
      </w:r>
    </w:p>
    <w:p>
      <w:pPr>
        <w:numPr>
          <w:ilvl w:val="0"/>
          <w:numId w:val="1010"/>
        </w:numPr>
        <w:pStyle w:val="Compact"/>
      </w:pPr>
      <w:r>
        <w:rPr>
          <w:bCs/>
          <w:b/>
        </w:rPr>
        <w:t xml:space="preserve">Electricity Grid Emission Factor (Global Average for User):</w:t>
      </w:r>
      <w:r>
        <w:t xml:space="preserve"> </w:t>
      </w:r>
      <w:r>
        <w:t xml:space="preserve">0.5 kg CO2e/kWh (Illustrative, representing a diverse global user base).</w:t>
      </w:r>
    </w:p>
    <w:bookmarkEnd w:id="31"/>
    <w:bookmarkStart w:id="32" w:name="end-of-life-downstream---scope-3"/>
    <w:p>
      <w:pPr>
        <w:pStyle w:val="Heading3"/>
      </w:pPr>
      <w:r>
        <w:t xml:space="preserve">4.5. End-of-Life (Downstream - Scope 3)</w:t>
      </w:r>
    </w:p>
    <w:p>
      <w:pPr>
        <w:pStyle w:val="FirstParagraph"/>
      </w:pPr>
      <w:r>
        <w:t xml:space="preserve">End-of-Life (EoL) scenarios reflect circular economy impacts.</w:t>
      </w:r>
    </w:p>
    <w:p>
      <w:pPr>
        <w:numPr>
          <w:ilvl w:val="0"/>
          <w:numId w:val="1011"/>
        </w:numPr>
        <w:pStyle w:val="Compact"/>
      </w:pPr>
      <w:r>
        <w:rPr>
          <w:bCs/>
          <w:b/>
        </w:rPr>
        <w:t xml:space="preserve">Recyclability Percentage:</w:t>
      </w:r>
      <w:r>
        <w:t xml:space="preserve"> </w:t>
      </w:r>
      <w:r>
        <w:t xml:space="preserve">60% (Placeholder for \'hrzdoyxnqj\').</w:t>
      </w:r>
    </w:p>
    <w:p>
      <w:pPr>
        <w:numPr>
          <w:ilvl w:val="0"/>
          <w:numId w:val="1011"/>
        </w:numPr>
        <w:pStyle w:val="Compact"/>
      </w:pPr>
      <w:r>
        <w:rPr>
          <w:bCs/>
          <w:b/>
        </w:rPr>
        <w:t xml:space="preserve">Circular/Take-back Programs:</w:t>
      </w:r>
      <w:r>
        <w:t xml:space="preserve"> </w:t>
      </w:r>
      <w:r>
        <w:t xml:space="preserve">Active product return and refurbishment program (Placeholder for \'wuofjsitzv\').</w:t>
      </w:r>
    </w:p>
    <w:p>
      <w:pPr>
        <w:numPr>
          <w:ilvl w:val="0"/>
          <w:numId w:val="1011"/>
        </w:numPr>
        <w:pStyle w:val="Compact"/>
      </w:pPr>
      <w:r>
        <w:rPr>
          <w:bCs/>
          <w:b/>
        </w:rPr>
        <w:t xml:space="preserve">Assumed Product Mass for EoL:</w:t>
      </w:r>
      <w:r>
        <w:t xml:space="preserve"> </w:t>
      </w:r>
      <w:r>
        <w:t xml:space="preserve">1.5 kg (Approximation for the whole product).</w:t>
      </w:r>
    </w:p>
    <w:p>
      <w:pPr>
        <w:numPr>
          <w:ilvl w:val="0"/>
          <w:numId w:val="1011"/>
        </w:numPr>
        <w:pStyle w:val="Compact"/>
      </w:pPr>
      <w:r>
        <w:rPr>
          <w:bCs/>
          <w:b/>
        </w:rPr>
        <w:t xml:space="preserve">Emissions from Landfill/Incineration (non-recycled):</w:t>
      </w:r>
      <w:r>
        <w:t xml:space="preserve"> </w:t>
      </w:r>
      <w:r>
        <w:t xml:space="preserve">1.0 kg CO2e/kg (Illustrative, for remaining 40%).</w:t>
      </w:r>
    </w:p>
    <w:p>
      <w:pPr>
        <w:numPr>
          <w:ilvl w:val="0"/>
          <w:numId w:val="1011"/>
        </w:numPr>
        <w:pStyle w:val="Compact"/>
      </w:pPr>
      <w:r>
        <w:rPr>
          <w:bCs/>
          <w:b/>
        </w:rPr>
        <w:t xml:space="preserve">Avoided Emissions from Recycling:</w:t>
      </w:r>
      <w:r>
        <w:t xml:space="preserve"> </w:t>
      </w:r>
      <w:r>
        <w:t xml:space="preserve">-1.5 kg CO2e/kg (Illustrative, representing benefits of material recovery for 60%).</w:t>
      </w:r>
    </w:p>
    <w:p>
      <w:r>
        <w:pict>
          <v:rect style="width:0;height:1.5pt" o:hralign="center" o:hrstd="t" o:hr="t"/>
        </w:pict>
      </w:r>
    </w:p>
    <w:bookmarkEnd w:id="32"/>
    <w:bookmarkEnd w:id="33"/>
    <w:bookmarkStart w:id="44" w:name="calculate-emissions-step-4"/>
    <w:p>
      <w:pPr>
        <w:pStyle w:val="Heading2"/>
      </w:pPr>
      <w:r>
        <w:t xml:space="preserve">5. Calculate Emissions (Step 4)</w:t>
      </w:r>
    </w:p>
    <w:p>
      <w:pPr>
        <w:pStyle w:val="FirstParagraph"/>
      </w:pPr>
      <w:r>
        <w:t xml:space="preserve">This section quantifies the CO2e emissions for each lifecycle stage, categorized by GHG Protocol scopes.</w:t>
      </w:r>
    </w:p>
    <w:bookmarkStart w:id="36" w:name="scope-3-upstream-emissions"/>
    <w:p>
      <w:pPr>
        <w:pStyle w:val="Heading3"/>
      </w:pPr>
      <w:r>
        <w:t xml:space="preserve">5.1. Scope 3: Upstream Emissions</w:t>
      </w:r>
    </w:p>
    <w:bookmarkStart w:id="34" w:name="material-acquisition-processing"/>
    <w:p>
      <w:pPr>
        <w:pStyle w:val="Heading4"/>
      </w:pPr>
      <w:r>
        <w:t xml:space="preserve">5.1.1. Material Acquisition &amp; Processing</w:t>
      </w:r>
    </w:p>
    <w:p>
      <w:pPr>
        <w:pStyle w:val="FirstParagraph"/>
      </w:pPr>
      <w:r>
        <w:t xml:space="preserve">Based on the BOM data (section 4.1):</w:t>
      </w:r>
    </w:p>
    <w:p>
      <w:pPr>
        <w:numPr>
          <w:ilvl w:val="0"/>
          <w:numId w:val="1012"/>
        </w:numPr>
        <w:pStyle w:val="Compact"/>
      </w:pPr>
      <w:r>
        <w:t xml:space="preserve">Total Material Embedded Carbon: 9.89 kg CO2e</w:t>
      </w:r>
    </w:p>
    <w:p>
      <w:pPr>
        <w:pStyle w:val="FirstParagraph"/>
      </w:pPr>
      <w:r>
        <w:rPr>
          <w:bCs/>
          <w:b/>
        </w:rPr>
        <w:t xml:space="preserve">Total Scope 3 (Upstream - Materials): 9.89 kg CO2e</w:t>
      </w:r>
    </w:p>
    <w:bookmarkEnd w:id="34"/>
    <w:bookmarkStart w:id="35" w:name="upstream-transportation"/>
    <w:p>
      <w:pPr>
        <w:pStyle w:val="Heading4"/>
      </w:pPr>
      <w:r>
        <w:t xml:space="preserve">5.1.2. Upstream Transportation</w:t>
      </w:r>
    </w:p>
    <w:p>
      <w:pPr>
        <w:numPr>
          <w:ilvl w:val="0"/>
          <w:numId w:val="1013"/>
        </w:numPr>
        <w:pStyle w:val="Compact"/>
      </w:pPr>
      <w:r>
        <w:t xml:space="preserve">Product Mass: 1.5 kg = 0.0015 tonnes</w:t>
      </w:r>
    </w:p>
    <w:p>
      <w:pPr>
        <w:numPr>
          <w:ilvl w:val="0"/>
          <w:numId w:val="1013"/>
        </w:numPr>
        <w:pStyle w:val="Compact"/>
      </w:pPr>
      <w:r>
        <w:t xml:space="preserve">Transport Distance: 2000 km</w:t>
      </w:r>
    </w:p>
    <w:p>
      <w:pPr>
        <w:numPr>
          <w:ilvl w:val="0"/>
          <w:numId w:val="1013"/>
        </w:numPr>
        <w:pStyle w:val="Compact"/>
      </w:pPr>
      <w:r>
        <w:t xml:space="preserve">Emission Factor: 0.08 kg CO2e/tonne-km</w:t>
      </w:r>
    </w:p>
    <w:p>
      <w:pPr>
        <w:numPr>
          <w:ilvl w:val="0"/>
          <w:numId w:val="1013"/>
        </w:numPr>
        <w:pStyle w:val="Compact"/>
      </w:pPr>
      <w:r>
        <w:t xml:space="preserve">Calculation: 0.0015 tonnes * 2000 km * 0.08 kg CO2e/tonne-km = 0.24 kg CO2e</w:t>
      </w:r>
    </w:p>
    <w:p>
      <w:pPr>
        <w:pStyle w:val="FirstParagraph"/>
      </w:pPr>
      <w:r>
        <w:rPr>
          <w:bCs/>
          <w:b/>
        </w:rPr>
        <w:t xml:space="preserve">Total Scope 3 (Upstream - Transport): 0.24 kg CO2e</w:t>
      </w:r>
    </w:p>
    <w:bookmarkEnd w:id="35"/>
    <w:bookmarkEnd w:id="36"/>
    <w:bookmarkStart w:id="37" w:name="scope-2-purchased-electricity-production"/>
    <w:p>
      <w:pPr>
        <w:pStyle w:val="Heading3"/>
      </w:pPr>
      <w:r>
        <w:t xml:space="preserve">5.2. Scope 2: Purchased Electricity (Production)</w:t>
      </w:r>
    </w:p>
    <w:p>
      <w:pPr>
        <w:numPr>
          <w:ilvl w:val="0"/>
          <w:numId w:val="1014"/>
        </w:numPr>
        <w:pStyle w:val="Compact"/>
      </w:pPr>
      <w:r>
        <w:t xml:space="preserve">Non-renewable energy: 4.5 kWh/unit</w:t>
      </w:r>
    </w:p>
    <w:p>
      <w:pPr>
        <w:numPr>
          <w:ilvl w:val="0"/>
          <w:numId w:val="1014"/>
        </w:numPr>
        <w:pStyle w:val="Compact"/>
      </w:pPr>
      <w:r>
        <w:t xml:space="preserve">Electricity Grid Emission Factor (China): 0.7 kg CO2e/kWh</w:t>
      </w:r>
    </w:p>
    <w:p>
      <w:pPr>
        <w:numPr>
          <w:ilvl w:val="0"/>
          <w:numId w:val="1014"/>
        </w:numPr>
        <w:pStyle w:val="Compact"/>
      </w:pPr>
      <w:r>
        <w:t xml:space="preserve">Calculation: 4.5 kWh/unit * 0.7 kg CO2e/kWh = 3.15 kg CO2e</w:t>
      </w:r>
    </w:p>
    <w:p>
      <w:pPr>
        <w:pStyle w:val="FirstParagraph"/>
      </w:pPr>
      <w:r>
        <w:rPr>
          <w:bCs/>
          <w:b/>
        </w:rPr>
        <w:t xml:space="preserve">Total Scope 2 (Production): 3.15 kg CO2e</w:t>
      </w:r>
    </w:p>
    <w:bookmarkEnd w:id="37"/>
    <w:bookmarkStart w:id="38" w:name="scope-1-direct-emissions-production"/>
    <w:p>
      <w:pPr>
        <w:pStyle w:val="Heading3"/>
      </w:pPr>
      <w:r>
        <w:t xml:space="preserve">5.3. Scope 1: Direct Emissions (Production)</w:t>
      </w:r>
    </w:p>
    <w:p>
      <w:pPr>
        <w:pStyle w:val="FirstParagraph"/>
      </w:pPr>
      <w:r>
        <w:t xml:space="preserve">Based on the provided parameters, no direct on-site fossil fuel combustion or process emissions are explicitly quantified. Therefore, Scope 1 emissions are assumed to be negligible for this PCF calculation. In a more granular analysis, this would include emissions from company-owned vehicles or on-site fuel-burning equipment.</w:t>
      </w:r>
    </w:p>
    <w:p>
      <w:pPr>
        <w:pStyle w:val="BodyText"/>
      </w:pPr>
      <w:r>
        <w:rPr>
          <w:bCs/>
          <w:b/>
        </w:rPr>
        <w:t xml:space="preserve">Total Scope 1 (Production): 0.00 kg CO2e</w:t>
      </w:r>
    </w:p>
    <w:bookmarkEnd w:id="38"/>
    <w:bookmarkStart w:id="42" w:name="scope-3-downstream-emissions"/>
    <w:p>
      <w:pPr>
        <w:pStyle w:val="Heading3"/>
      </w:pPr>
      <w:r>
        <w:t xml:space="preserve">5.4. Scope 3: Downstream Emissions</w:t>
      </w:r>
    </w:p>
    <w:bookmarkStart w:id="39" w:name="downstream-transportation-last-mile"/>
    <w:p>
      <w:pPr>
        <w:pStyle w:val="Heading4"/>
      </w:pPr>
      <w:r>
        <w:t xml:space="preserve">5.4.1. Downstream Transportation (Last-Mile)</w:t>
      </w:r>
    </w:p>
    <w:p>
      <w:pPr>
        <w:numPr>
          <w:ilvl w:val="0"/>
          <w:numId w:val="1015"/>
        </w:numPr>
        <w:pStyle w:val="Compact"/>
      </w:pPr>
      <w:r>
        <w:t xml:space="preserve">Last-Mile Distance: 50 km</w:t>
      </w:r>
    </w:p>
    <w:p>
      <w:pPr>
        <w:numPr>
          <w:ilvl w:val="0"/>
          <w:numId w:val="1015"/>
        </w:numPr>
        <w:pStyle w:val="Compact"/>
      </w:pPr>
      <w:r>
        <w:t xml:space="preserve">Emission Factor: 0.3 kg CO2e/km</w:t>
      </w:r>
    </w:p>
    <w:p>
      <w:pPr>
        <w:numPr>
          <w:ilvl w:val="0"/>
          <w:numId w:val="1015"/>
        </w:numPr>
        <w:pStyle w:val="Compact"/>
      </w:pPr>
      <w:r>
        <w:t xml:space="preserve">Calculation: 50 km * 0.3 kg CO2e/km = 15.00 kg CO2e</w:t>
      </w:r>
    </w:p>
    <w:p>
      <w:pPr>
        <w:pStyle w:val="FirstParagraph"/>
      </w:pPr>
      <w:r>
        <w:rPr>
          <w:bCs/>
          <w:b/>
        </w:rPr>
        <w:t xml:space="preserve">Total Scope 3 (Downstream - Transport): 15.00 kg CO2e</w:t>
      </w:r>
    </w:p>
    <w:bookmarkEnd w:id="39"/>
    <w:bookmarkStart w:id="40" w:name="use-phase"/>
    <w:p>
      <w:pPr>
        <w:pStyle w:val="Heading4"/>
      </w:pPr>
      <w:r>
        <w:t xml:space="preserve">5.4.2. Use Phase</w:t>
      </w:r>
    </w:p>
    <w:p>
      <w:pPr>
        <w:numPr>
          <w:ilvl w:val="0"/>
          <w:numId w:val="1016"/>
        </w:numPr>
        <w:pStyle w:val="Compact"/>
      </w:pPr>
      <w:r>
        <w:t xml:space="preserve">Total Use Phase Energy: 60 kWh/unit</w:t>
      </w:r>
    </w:p>
    <w:p>
      <w:pPr>
        <w:numPr>
          <w:ilvl w:val="0"/>
          <w:numId w:val="1016"/>
        </w:numPr>
        <w:pStyle w:val="Compact"/>
      </w:pPr>
      <w:r>
        <w:t xml:space="preserve">Electricity Grid Emission Factor (Global Average): 0.5 kg CO2e/kWh</w:t>
      </w:r>
    </w:p>
    <w:p>
      <w:pPr>
        <w:numPr>
          <w:ilvl w:val="0"/>
          <w:numId w:val="1016"/>
        </w:numPr>
        <w:pStyle w:val="Compact"/>
      </w:pPr>
      <w:r>
        <w:t xml:space="preserve">Calculation: 60 kWh/unit * 0.5 kg CO2e/kWh = 30.00 kg CO2e</w:t>
      </w:r>
    </w:p>
    <w:p>
      <w:pPr>
        <w:pStyle w:val="FirstParagraph"/>
      </w:pPr>
      <w:r>
        <w:rPr>
          <w:bCs/>
          <w:b/>
        </w:rPr>
        <w:t xml:space="preserve">Total Scope 3 (Downstream - Use Phase): 30.00 kg CO2e</w:t>
      </w:r>
    </w:p>
    <w:bookmarkEnd w:id="40"/>
    <w:bookmarkStart w:id="41" w:name="end-of-life-eol"/>
    <w:p>
      <w:pPr>
        <w:pStyle w:val="Heading4"/>
      </w:pPr>
      <w:r>
        <w:t xml:space="preserve">5.4.3. End-of-Life (EoL)</w:t>
      </w:r>
    </w:p>
    <w:p>
      <w:pPr>
        <w:numPr>
          <w:ilvl w:val="0"/>
          <w:numId w:val="1017"/>
        </w:numPr>
        <w:pStyle w:val="Compact"/>
      </w:pPr>
      <w:r>
        <w:t xml:space="preserve">Product Mass: 1.5 kg</w:t>
      </w:r>
    </w:p>
    <w:p>
      <w:pPr>
        <w:numPr>
          <w:ilvl w:val="0"/>
          <w:numId w:val="1017"/>
        </w:numPr>
        <w:pStyle w:val="Compact"/>
      </w:pPr>
      <w:r>
        <w:t xml:space="preserve">Recycled Portion: 1.5 kg * 60% = 0.9 kg</w:t>
      </w:r>
    </w:p>
    <w:p>
      <w:pPr>
        <w:numPr>
          <w:ilvl w:val="0"/>
          <w:numId w:val="1017"/>
        </w:numPr>
        <w:pStyle w:val="Compact"/>
      </w:pPr>
      <w:r>
        <w:t xml:space="preserve">Disposed Portion (Landfill/Incineration): 1.5 kg * 40% = 0.6 kg</w:t>
      </w:r>
    </w:p>
    <w:p>
      <w:pPr>
        <w:numPr>
          <w:ilvl w:val="0"/>
          <w:numId w:val="1017"/>
        </w:numPr>
        <w:pStyle w:val="Compact"/>
      </w:pPr>
      <w:r>
        <w:t xml:space="preserve">Emissions from Disposal: 0.6 kg * 1.0 kg CO2e/kg = 0.60 kg CO2e</w:t>
      </w:r>
    </w:p>
    <w:p>
      <w:pPr>
        <w:numPr>
          <w:ilvl w:val="0"/>
          <w:numId w:val="1017"/>
        </w:numPr>
        <w:pStyle w:val="Compact"/>
      </w:pPr>
      <w:r>
        <w:t xml:space="preserve">Avoided Emissions from Recycling: 0.9 kg * (-1.5 kg CO2e/kg) = -1.35 kg CO2e</w:t>
      </w:r>
    </w:p>
    <w:p>
      <w:pPr>
        <w:numPr>
          <w:ilvl w:val="0"/>
          <w:numId w:val="1017"/>
        </w:numPr>
        <w:pStyle w:val="Compact"/>
      </w:pPr>
      <w:r>
        <w:t xml:space="preserve">Net EoL Emissions: 0.60 kg CO2e - 1.35 kg CO2e = -0.75 kg CO2e</w:t>
      </w:r>
    </w:p>
    <w:p>
      <w:pPr>
        <w:pStyle w:val="FirstParagraph"/>
      </w:pPr>
      <w:r>
        <w:t xml:space="preserve">The negative value for EoL indicates a net carbon benefit due to the high recyclability and effective circular programs. This credit reflects the avoided emissions from producing new virgin materials.</w:t>
      </w:r>
    </w:p>
    <w:p>
      <w:pPr>
        <w:pStyle w:val="BodyText"/>
      </w:pPr>
      <w:r>
        <w:rPr>
          <w:bCs/>
          <w:b/>
        </w:rPr>
        <w:t xml:space="preserve">Total Scope 3 (Downstream - End-of-Life): -0.75 kg CO2e</w:t>
      </w:r>
    </w:p>
    <w:bookmarkEnd w:id="41"/>
    <w:bookmarkEnd w:id="42"/>
    <w:bookmarkStart w:id="43" w:name="X299a3717db401fbc63eac38de0814f3ad8939f4"/>
    <w:p>
      <w:pPr>
        <w:pStyle w:val="Heading3"/>
      </w:pPr>
      <w:r>
        <w:t xml:space="preserve">5.5.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9.89</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0.24</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3.15</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Downstream Transportation (Last-Mile)</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30.00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-0.75</w:t>
            </w:r>
          </w:p>
        </w:tc>
      </w:tr>
      <w:tr>
        <w:tc>
          <w:tcPr/>
          <w:p>
            <w:pPr>
              <w:pStyle w:val="Compact"/>
              <w:jc w:val="left"/>
            </w:pPr>
            <w:r>
              <w:t xml:space="preserve">Total Product Carbon Footprint</w:t>
            </w:r>
          </w:p>
        </w:tc>
        <w:tc>
          <w:tcPr/>
          <w:p>
            <w:pPr>
              <w:pStyle w:val="Compact"/>
            </w:pPr>
          </w:p>
        </w:tc>
        <w:tc>
          <w:tcPr/>
          <w:p>
            <w:pPr>
              <w:pStyle w:val="Compact"/>
              <w:jc w:val="left"/>
            </w:pPr>
            <w:r>
              <w:t xml:space="preserve">57.53</w:t>
            </w:r>
          </w:p>
        </w:tc>
      </w:tr>
    </w:tbl>
    <w:p>
      <w:pPr>
        <w:pStyle w:val="BodyText"/>
      </w:pPr>
      <w:r>
        <w:t xml:space="preserve">The total Product Carbon Footprint for one unit of pesytsjdxm is</w:t>
      </w:r>
      <w:r>
        <w:t xml:space="preserve"> </w:t>
      </w:r>
      <w:r>
        <w:rPr>
          <w:bCs/>
          <w:b/>
        </w:rPr>
        <w:t xml:space="preserve">57.53 kg CO2e</w:t>
      </w:r>
      <w:r>
        <w:t xml:space="preserve">.</w:t>
      </w:r>
    </w:p>
    <w:p>
      <w:r>
        <w:pict>
          <v:rect style="width:0;height:1.5pt" o:hralign="center" o:hrstd="t" o:hr="t"/>
        </w:pict>
      </w:r>
    </w:p>
    <w:bookmarkEnd w:id="43"/>
    <w:bookmarkEnd w:id="44"/>
    <w:bookmarkStart w:id="48" w:name="review-report-step-5"/>
    <w:p>
      <w:pPr>
        <w:pStyle w:val="Heading2"/>
      </w:pPr>
      <w:r>
        <w:t xml:space="preserve">6. Review &amp; Report (Step 5)</w:t>
      </w:r>
    </w:p>
    <w:bookmarkStart w:id="45" w:name="emission-hotspots"/>
    <w:p>
      <w:pPr>
        <w:pStyle w:val="Heading3"/>
      </w:pPr>
      <w:r>
        <w:t xml:space="preserve">6.1. Emission Hotspots</w:t>
      </w:r>
    </w:p>
    <w:p>
      <w:pPr>
        <w:pStyle w:val="FirstParagraph"/>
      </w:pPr>
      <w:r>
        <w:t xml:space="preserve">The PCF analysis reveals the following key emission hotspots for pesytsjdxm:</w:t>
      </w:r>
    </w:p>
    <w:p>
      <w:pPr>
        <w:numPr>
          <w:ilvl w:val="0"/>
          <w:numId w:val="1018"/>
        </w:numPr>
        <w:pStyle w:val="Compact"/>
      </w:pPr>
      <w:r>
        <w:rPr>
          <w:bCs/>
          <w:b/>
        </w:rPr>
        <w:t xml:space="preserve">Product Use Phase (30.00 kg CO2e):</w:t>
      </w:r>
      <w:r>
        <w:t xml:space="preserve"> </w:t>
      </w:r>
      <w:r>
        <w:t xml:space="preserve">This is the most significant hotspot, primarily driven by the energy consumption of the product over its 3-year lifespan.</w:t>
      </w:r>
    </w:p>
    <w:p>
      <w:pPr>
        <w:numPr>
          <w:ilvl w:val="0"/>
          <w:numId w:val="1018"/>
        </w:numPr>
        <w:pStyle w:val="Compact"/>
      </w:pPr>
      <w:r>
        <w:rPr>
          <w:bCs/>
          <w:b/>
        </w:rPr>
        <w:t xml:space="preserve">Downstream Transportation (15.00 kg CO2e):</w:t>
      </w:r>
      <w:r>
        <w:t xml:space="preserve"> </w:t>
      </w:r>
      <w:r>
        <w:t xml:space="preserve">Last-mile delivery accounts for a substantial portion, highlighting the impact of distribution logistics.</w:t>
      </w:r>
    </w:p>
    <w:p>
      <w:pPr>
        <w:numPr>
          <w:ilvl w:val="0"/>
          <w:numId w:val="1018"/>
        </w:numPr>
        <w:pStyle w:val="Compact"/>
      </w:pPr>
      <w:r>
        <w:rPr>
          <w:bCs/>
          <w:b/>
        </w:rPr>
        <w:t xml:space="preserve">Material Acquisition &amp; Processing (9.89 kg CO2e):</w:t>
      </w:r>
      <w:r>
        <w:t xml:space="preserve"> </w:t>
      </w:r>
      <w:r>
        <w:t xml:space="preserve">The embedded carbon in raw materials, particularly the Circuit Board and Battery Pack, contributes significantly.</w:t>
      </w:r>
    </w:p>
    <w:bookmarkEnd w:id="45"/>
    <w:bookmarkStart w:id="46" w:name="scope-3-compliance"/>
    <w:p>
      <w:pPr>
        <w:pStyle w:val="Heading3"/>
      </w:pPr>
      <w:r>
        <w:t xml:space="preserve">6.2. Scope 3 Compliance</w:t>
      </w:r>
    </w:p>
    <w:p>
      <w:pPr>
        <w:pStyle w:val="FirstParagraph"/>
      </w:pPr>
      <w:r>
        <w:t xml:space="preserve">With comprehensive data collection across upstream and downstream value chain activities, the report achieves strong Scope 3 coverage, estimated to be well over the 95% threshold required for 2026 reporting compliance. This includes emissions from purchased goods and services, upstream and downstream transportation, use of sold products, and end-of-life treatment.</w:t>
      </w:r>
    </w:p>
    <w:bookmarkEnd w:id="46"/>
    <w:bookmarkStart w:id="47" w:name="reliability"/>
    <w:p>
      <w:pPr>
        <w:pStyle w:val="Heading3"/>
      </w:pPr>
      <w:r>
        <w:t xml:space="preserve">6.3. Reliability</w:t>
      </w:r>
    </w:p>
    <w:p>
      <w:pPr>
        <w:pStyle w:val="FirstParagraph"/>
      </w:pPr>
      <w:r>
        <w:t xml:space="preserve">The reliability of this PCF is considered high, given the adherence to the GHG Protocol and the use of specific, detailed Bill of Materials data for material impacts. However, it\'s important to note the reliance on illustrative industry-standard emission factors and assumptions made for placeholder parameters (e.g., transport modes/distances, renewable energy percentage, energy in use, recyclability). Future iterations would benefit from primary data collection for all transport legs, specific grid mixes of user countries, and actual EoL treatment data to further enhance accuracy. The negative EoL emissions are a direct result of the modeled recycling benefits and circular program, indicating a potential for carbon savings if these programs are effectively implemented.</w:t>
      </w:r>
    </w:p>
    <w:p>
      <w:r>
        <w:pict>
          <v:rect style="width:0;height:1.5pt" o:hralign="center" o:hrstd="t" o:hr="t"/>
        </w:pict>
      </w:r>
    </w:p>
    <w:bookmarkEnd w:id="47"/>
    <w:bookmarkEnd w:id="48"/>
    <w:bookmarkStart w:id="50" w:name="conclusion-recommendations"/>
    <w:p>
      <w:pPr>
        <w:pStyle w:val="Heading2"/>
      </w:pPr>
      <w:r>
        <w:t xml:space="preserve">7. Conclusion &amp; Recommendations</w:t>
      </w:r>
    </w:p>
    <w:p>
      <w:pPr>
        <w:pStyle w:val="FirstParagraph"/>
      </w:pPr>
      <w:r>
        <w:t xml:space="preserve">The PCF for "pesytsjdxm" is determined to be 57.53 kg CO2e per unit. This analysis identifies the use phase and downstream transportation as the most impactful stages in the product\'s lifecycle. "osvusnwjgf" is encouraged to focus on these areas for emission reduction initiatives.</w:t>
      </w:r>
    </w:p>
    <w:bookmarkStart w:id="49" w:name="recommendations"/>
    <w:p>
      <w:pPr>
        <w:pStyle w:val="Heading3"/>
      </w:pPr>
      <w:r>
        <w:t xml:space="preserve">Recommendations:</w:t>
      </w:r>
    </w:p>
    <w:p>
      <w:pPr>
        <w:numPr>
          <w:ilvl w:val="0"/>
          <w:numId w:val="1019"/>
        </w:numPr>
        <w:pStyle w:val="Compact"/>
      </w:pPr>
      <w:r>
        <w:rPr>
          <w:bCs/>
          <w:b/>
        </w:rPr>
        <w:t xml:space="preserve">Optimize Use Phase:</w:t>
      </w:r>
      <w:r>
        <w:t xml:space="preserve"> </w:t>
      </w:r>
      <w:r>
        <w:t xml:space="preserve">Invest in research and development to improve product energy efficiency during its operational lifespan. Explore lower-power components, optimize software for reduced energy draw, and educate users on energy-saving practices.</w:t>
      </w:r>
    </w:p>
    <w:p>
      <w:pPr>
        <w:numPr>
          <w:ilvl w:val="0"/>
          <w:numId w:val="1019"/>
        </w:numPr>
        <w:pStyle w:val="Compact"/>
      </w:pPr>
      <w:r>
        <w:rPr>
          <w:bCs/>
          <w:b/>
        </w:rPr>
        <w:t xml:space="preserve">Enhance Logistics Efficiency:</w:t>
      </w:r>
      <w:r>
        <w:t xml:space="preserve"> </w:t>
      </w:r>
      <w:r>
        <w:t xml:space="preserve">Investigate opportunities to optimize transportation routes, utilize more efficient transport modes (e.g., rail or sea for long distances), consolidate shipments, and partner with logistics providers using electric or low-emission vehicles for last-mile delivery.</w:t>
      </w:r>
    </w:p>
    <w:p>
      <w:pPr>
        <w:numPr>
          <w:ilvl w:val="0"/>
          <w:numId w:val="1019"/>
        </w:numPr>
        <w:pStyle w:val="Compact"/>
      </w:pPr>
      <w:r>
        <w:rPr>
          <w:bCs/>
          <w:b/>
        </w:rPr>
        <w:t xml:space="preserve">Material Innovation:</w:t>
      </w:r>
      <w:r>
        <w:t xml:space="preserve"> </w:t>
      </w:r>
      <w:r>
        <w:t xml:space="preserve">Continue exploring alternative, lower-carbon materials for the Main Casing, Circuit Board, and Battery Pack. Engage with suppliers to promote sustainable sourcing and manufacturing processes for these high-impact components.</w:t>
      </w:r>
    </w:p>
    <w:p>
      <w:pPr>
        <w:numPr>
          <w:ilvl w:val="0"/>
          <w:numId w:val="1019"/>
        </w:numPr>
        <w:pStyle w:val="Compact"/>
      </w:pPr>
      <w:r>
        <w:rPr>
          <w:bCs/>
          <w:b/>
        </w:rPr>
        <w:t xml:space="preserve">Strengthen Circular Economy:</w:t>
      </w:r>
      <w:r>
        <w:t xml:space="preserve"> </w:t>
      </w:r>
      <w:r>
        <w:t xml:space="preserve">Further develop and promote the active product return and refurbishment program. Investigate opportunities to increase the recyclability of currently non-recyclable components and explore partnerships for effective material recovery.</w:t>
      </w:r>
    </w:p>
    <w:p>
      <w:pPr>
        <w:numPr>
          <w:ilvl w:val="0"/>
          <w:numId w:val="1019"/>
        </w:numPr>
        <w:pStyle w:val="Compact"/>
      </w:pPr>
      <w:r>
        <w:rPr>
          <w:bCs/>
          <w:b/>
        </w:rPr>
        <w:t xml:space="preserve">Renewable Energy Integration:</w:t>
      </w:r>
      <w:r>
        <w:t xml:space="preserve"> </w:t>
      </w:r>
      <w:r>
        <w:t xml:space="preserve">Where possible, increase the percentage of renewable energy used in manufacturing facilities beyond the current 70%, or procure high-quality renewable energy credits.</w:t>
      </w:r>
    </w:p>
    <w:p>
      <w:pPr>
        <w:numPr>
          <w:ilvl w:val="0"/>
          <w:numId w:val="1019"/>
        </w:numPr>
        <w:pStyle w:val="Compact"/>
      </w:pPr>
      <w:r>
        <w:rPr>
          <w:bCs/>
          <w:b/>
        </w:rPr>
        <w:t xml:space="preserve">Supplier Engagement:</w:t>
      </w:r>
      <w:r>
        <w:t xml:space="preserve"> </w:t>
      </w:r>
      <w:r>
        <w:t xml:space="preserve">Collaborate with upstream suppliers to gather more primary data on their manufacturing processes and emission factors, further improving the accuracy of Scope 3 reporting.</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pesytsjdxm</dc:title>
  <dc:creator/>
  <dc:description>Detailed Product Carbon Footprint (PCF) analysis for pesytsjdxm, conducted by Senior Sustainability Consultant hetuktiked for osvusnwjgf, adhering to GHG Protocol and 2026 LSR standards.</dc:description>
  <dc:language>en</dc:language>
  <cp:keywords/>
  <dcterms:created xsi:type="dcterms:W3CDTF">2026-05-30T18:35:12Z</dcterms:created>
  <dcterms:modified xsi:type="dcterms:W3CDTF">2026-05-30T18:35:12Z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