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perovornio</w:t>
      </w:r>
      <w:r>
        <w:t xml:space="preserve"> </w:t>
      </w:r>
      <w:r>
        <w:t xml:space="preserve">-</w:t>
      </w:r>
      <w:r>
        <w:t xml:space="preserve"> </w:t>
      </w:r>
      <w:r>
        <w:t xml:space="preserve">dhkmxwqefr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perovornio</w:t>
      </w:r>
    </w:p>
    <w:p>
      <w:pPr>
        <w:pStyle w:val="BodyText"/>
      </w:pPr>
      <w:r>
        <w:rPr>
          <w:bCs/>
          <w:b/>
        </w:rPr>
        <w:t xml:space="preserve">Company:</w:t>
      </w:r>
      <w:r>
        <w:t xml:space="preserve"> </w:t>
      </w:r>
      <w:r>
        <w:t xml:space="preserve">dhkmxwqefr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xndwkozxpl</w:t>
      </w:r>
    </w:p>
    <w:p>
      <w:pPr>
        <w:pStyle w:val="BodyText"/>
      </w:pPr>
      <w:r>
        <w:rPr>
          <w:bCs/>
          <w:b/>
        </w:rPr>
        <w:t xml:space="preserve">Generated Date:</w:t>
      </w:r>
      <w:r>
        <w:t xml:space="preserve"> </w:t>
      </w:r>
      <w:r>
        <w:t xml:space="preserve">May 21, 2026</w:t>
      </w:r>
    </w:p>
    <w:p>
      <w:pPr>
        <w:pStyle w:val="BodyText"/>
      </w:pPr>
      <w:r>
        <w:t xml:space="preserve">This report is generated based on available data and industry standards. While every effort has been made to ensure accuracy, specific values are dependent on the precision and completeness of the provided input parameters and selected emission factors.</w:t>
      </w:r>
    </w:p>
    <w:bookmarkEnd w:id="20"/>
    <w:bookmarkStart w:id="39"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\'perovornio\', manufactured by dhkmxwqefr. The analysis, conducted by Senior Sustainability Consultant xndwkozxpl, adheres to the GHG Protocol standards, including the 2026 Land Sector and Removals (LSR) update and stringent Scope 3 coverage requirements. The functional unit for this assessment is 1.0 unit of \'perovornio\'. The total cradle-to-gate PCF, extended to include use-phase and end-of-life impacts, for one unit of \'perovornio\' is calculated to be approximately</w:t>
      </w:r>
      <w:r>
        <w:t xml:space="preserve"> </w:t>
      </w:r>
      <w:r>
        <w:rPr>
          <w:bCs/>
          <w:b/>
        </w:rPr>
        <w:t xml:space="preserve">32.36 kg CO2e</w:t>
      </w:r>
      <w:r>
        <w:t xml:space="preserve">. Key emission hotspots were identified in the product\'s use phase due to energy consumption, followed by material acquisition and manufacturing energy.</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Product Carbon Footprint (PCF) analysis for \'perovornio\' defines the following key parameters:</w:t>
      </w:r>
    </w:p>
    <w:p>
      <w:pPr>
        <w:numPr>
          <w:ilvl w:val="0"/>
          <w:numId w:val="1001"/>
        </w:numPr>
        <w:pStyle w:val="Compact"/>
      </w:pPr>
      <w:r>
        <w:rPr>
          <w:bCs/>
          <w:b/>
        </w:rPr>
        <w:t xml:space="preserve">Functional Unit:</w:t>
      </w:r>
      <w:r>
        <w:t xml:space="preserve"> </w:t>
      </w:r>
      <w:r>
        <w:t xml:space="preserve">1.0 unit of perovornio. This unit serves as the reference basis for quantifying all inputs and outputs of the product system throughout its lifecycle.</w:t>
      </w:r>
    </w:p>
    <w:p>
      <w:pPr>
        <w:numPr>
          <w:ilvl w:val="0"/>
          <w:numId w:val="1001"/>
        </w:numPr>
        <w:pStyle w:val="Compact"/>
      </w:pPr>
      <w:r>
        <w:rPr>
          <w:bCs/>
          <w:b/>
        </w:rPr>
        <w:t xml:space="preserve">System Boundary:</w:t>
      </w:r>
      <w:r>
        <w:t xml:space="preserve"> </w:t>
      </w:r>
      <w:r>
        <w:t xml:space="preserve">Cradle-to-Gate, extended to include the Use Phase and End-of-Life (EoL) scenarios. This comprehensive boundary ensures that emissions from material extraction, manufacturing, transport to customer, product use, and disposal/recycling are captured. The primary production activities are considered at the \'factory_gate\'.</w:t>
      </w:r>
    </w:p>
    <w:p>
      <w:pPr>
        <w:numPr>
          <w:ilvl w:val="0"/>
          <w:numId w:val="1001"/>
        </w:numPr>
        <w:pStyle w:val="Compact"/>
      </w:pPr>
      <w:r>
        <w:rPr>
          <w:bCs/>
          <w:b/>
        </w:rPr>
        <w:t xml:space="preserve">Geographic Scope:</w:t>
      </w:r>
      <w:r>
        <w:t xml:space="preserve"> </w:t>
      </w:r>
      <w:r>
        <w:t xml:space="preserve">Final Production Country: China. The supply chain focus is Europe Focused, influencing emission factors for certain activities like the use phase.</w:t>
      </w:r>
    </w:p>
    <w:p>
      <w:pPr>
        <w:numPr>
          <w:ilvl w:val="0"/>
          <w:numId w:val="1001"/>
        </w:numPr>
        <w:pStyle w:val="Compact"/>
      </w:pPr>
      <w:r>
        <w:rPr>
          <w:bCs/>
          <w:b/>
        </w:rPr>
        <w:t xml:space="preserve">Accounting Standard:</w:t>
      </w:r>
      <w:r>
        <w:t xml:space="preserve"> </w:t>
      </w:r>
      <w:r>
        <w:t xml:space="preserve">This analysis strictly follows the</w:t>
      </w:r>
      <w:r>
        <w:t xml:space="preserve"> </w:t>
      </w:r>
      <w:r>
        <w:rPr>
          <w:bCs/>
          <w:b/>
        </w:rPr>
        <w:t xml:space="preserve">GHG Protocol</w:t>
      </w:r>
      <w:r>
        <w:t xml:space="preserve"> </w:t>
      </w:r>
      <w:r>
        <w:t xml:space="preserve">for corporate accounting and reporting.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Where necessary, emissions are allocated using mass-based approaches, consistent with GHG Protocol principles for co-products or by-products. Given the scope, direct allocation to the functional unit is primarily applied.</w:t>
      </w:r>
    </w:p>
    <w:p>
      <w:r>
        <w:pict>
          <v:rect style="width:0;height:1.5pt" o:hralign="center" o:hrstd="t" o:hr="t"/>
        </w:pict>
      </w:r>
    </w:p>
    <w:bookmarkEnd w:id="22"/>
    <w:bookmarkStart w:id="29" w:name="lifecycle-mapping-3.-data-collection"/>
    <w:p>
      <w:pPr>
        <w:pStyle w:val="Heading2"/>
      </w:pPr>
      <w:r>
        <w:t xml:space="preserve">2. Lifecycle Mapping &amp; 3. Data Collection</w:t>
      </w:r>
    </w:p>
    <w:p>
      <w:pPr>
        <w:pStyle w:val="FirstParagraph"/>
      </w:pPr>
      <w:r>
        <w:t xml:space="preserve">The lifecycle of \'perovornio\' has been mapped, and data collected across all relevant stages, from raw material extraction to end-of-life. The following parameters and data points were utilized:</w:t>
      </w:r>
    </w:p>
    <w:bookmarkStart w:id="23" w:name="product-details"/>
    <w:p>
      <w:pPr>
        <w:pStyle w:val="Heading3"/>
      </w:pPr>
      <w:r>
        <w:t xml:space="preserve">Product Details</w:t>
      </w:r>
    </w:p>
    <w:p>
      <w:pPr>
        <w:numPr>
          <w:ilvl w:val="0"/>
          <w:numId w:val="1002"/>
        </w:numPr>
        <w:pStyle w:val="Compact"/>
      </w:pPr>
      <w:r>
        <w:rPr>
          <w:bCs/>
          <w:b/>
        </w:rPr>
        <w:t xml:space="preserve">Product Name:</w:t>
      </w:r>
      <w:r>
        <w:t xml:space="preserve"> </w:t>
      </w:r>
      <w:r>
        <w:t xml:space="preserve">perovornio</w:t>
      </w:r>
    </w:p>
    <w:p>
      <w:pPr>
        <w:numPr>
          <w:ilvl w:val="0"/>
          <w:numId w:val="1002"/>
        </w:numPr>
        <w:pStyle w:val="Compact"/>
      </w:pPr>
      <w:r>
        <w:rPr>
          <w:bCs/>
          <w:b/>
        </w:rPr>
        <w:t xml:space="preserve">Company Name:</w:t>
      </w:r>
      <w:r>
        <w:t xml:space="preserve"> </w:t>
      </w:r>
      <w:r>
        <w:t xml:space="preserve">dhkmxwqefr</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System Boundary:</w:t>
      </w:r>
      <w:r>
        <w:t xml:space="preserve"> </w:t>
      </w:r>
      <w:r>
        <w:t xml:space="preserve">Cradle-to-Gate, extending to Use Phase and End-of-Life</w:t>
      </w:r>
    </w:p>
    <w:bookmarkEnd w:id="23"/>
    <w:bookmarkStart w:id="24" w:name="materials-scope-3---upstream"/>
    <w:p>
      <w:pPr>
        <w:pStyle w:val="Heading3"/>
      </w:pPr>
      <w:r>
        <w:t xml:space="preserve">Materials (Scope 3 - Upstream)</w:t>
      </w:r>
    </w:p>
    <w:p>
      <w:pPr>
        <w:pStyle w:val="FirstParagraph"/>
      </w:pPr>
      <w:r>
        <w:t xml:space="preserve">The Detailed Bill of Materials (BOM) for \'perovornio\' is provided below. The "Total Carbon" (kg CO2e) value for each item has been directly incorporated into the material impact calculation, representing the embodied emissions from raw material extraction through processing up to the point of entry into dhkmxwqefr\'s manufacturing facility. This approach ensures high accuracy as per the provided parameters.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Product Weight:</w:t>
      </w:r>
      <w:r>
        <w:t xml:space="preserve"> </w:t>
      </w:r>
      <w:r>
        <w:t xml:space="preserve">3.3 kg (Sum of \'Qty\' in BOM)</w:t>
      </w:r>
    </w:p>
    <w:bookmarkEnd w:id="24"/>
    <w:bookmarkStart w:id="25" w:name="production-energy-scope-1-2"/>
    <w:p>
      <w:pPr>
        <w:pStyle w:val="Heading3"/>
      </w:pPr>
      <w:r>
        <w:t xml:space="preserve">Production Energy (Scope 1 &amp; 2)</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Renewable Energy Usage (pdyqnvtekk):</w:t>
      </w:r>
      <w:r>
        <w:t xml:space="preserve"> </w:t>
      </w:r>
      <w:r>
        <w:t xml:space="preserve">75% (Assumed based on parameter placeholder)</w:t>
      </w:r>
    </w:p>
    <w:p>
      <w:pPr>
        <w:numPr>
          <w:ilvl w:val="0"/>
          <w:numId w:val="1003"/>
        </w:numPr>
        <w:pStyle w:val="Compact"/>
      </w:pPr>
      <w:r>
        <w:rPr>
          <w:bCs/>
          <w:b/>
        </w:rPr>
        <w:t xml:space="preserve">Energy Intensity (yzpiueqzqt):</w:t>
      </w:r>
      <w:r>
        <w:t xml:space="preserve"> </w:t>
      </w:r>
      <w:r>
        <w:t xml:space="preserve">15 kWh/unit (Assumed based on parameter placeholder)</w:t>
      </w:r>
    </w:p>
    <w:p>
      <w:pPr>
        <w:numPr>
          <w:ilvl w:val="0"/>
          <w:numId w:val="1003"/>
        </w:numPr>
        <w:pStyle w:val="Compact"/>
      </w:pPr>
      <w:r>
        <w:rPr>
          <w:bCs/>
          <w:b/>
        </w:rPr>
        <w:t xml:space="preserve">China Electricity Grid Emission Factor:</w:t>
      </w:r>
      <w:r>
        <w:t xml:space="preserve"> </w:t>
      </w:r>
      <w:r>
        <w:t xml:space="preserve">0.57 kg CO2e/kWh (Average based on IEA/MEE data for 2021)</w:t>
      </w:r>
    </w:p>
    <w:bookmarkEnd w:id="25"/>
    <w:bookmarkStart w:id="26" w:name="logistics-scope-3---upstream-downstream"/>
    <w:p>
      <w:pPr>
        <w:pStyle w:val="Heading3"/>
      </w:pPr>
      <w:r>
        <w:t xml:space="preserve">Logistics (Scope 3 - Upstream &amp; Downstream)</w:t>
      </w:r>
    </w:p>
    <w:p>
      <w:pPr>
        <w:pStyle w:val="FirstParagraph"/>
      </w:pPr>
      <w:r>
        <w:t xml:space="preserve">Logistics impacts are calculated based on the following specific data:</w:t>
      </w:r>
    </w:p>
    <w:p>
      <w:pPr>
        <w:numPr>
          <w:ilvl w:val="0"/>
          <w:numId w:val="1004"/>
        </w:numPr>
        <w:pStyle w:val="Compact"/>
      </w:pPr>
      <w:r>
        <w:rPr>
          <w:bCs/>
          <w:b/>
        </w:rPr>
        <w:t xml:space="preserve">Primary Transport Mode (Select Mode):</w:t>
      </w:r>
      <w:r>
        <w:t xml:space="preserve"> </w:t>
      </w:r>
      <w:r>
        <w:t xml:space="preserve">Ocean Freight (Assumed for intercontinental transport from China to Europe Focused supply chain)</w:t>
      </w:r>
    </w:p>
    <w:p>
      <w:pPr>
        <w:numPr>
          <w:ilvl w:val="0"/>
          <w:numId w:val="1004"/>
        </w:numPr>
        <w:pStyle w:val="Compact"/>
      </w:pPr>
      <w:r>
        <w:rPr>
          <w:bCs/>
          <w:b/>
        </w:rPr>
        <w:t xml:space="preserve">Primary Transport Distance (iwjluxkmit):</w:t>
      </w:r>
      <w:r>
        <w:t xml:space="preserve"> </w:t>
      </w:r>
      <w:r>
        <w:t xml:space="preserve">5000 km (Assumed for intercontinental transport from parameter placeholder)</w:t>
      </w:r>
    </w:p>
    <w:p>
      <w:pPr>
        <w:numPr>
          <w:ilvl w:val="0"/>
          <w:numId w:val="1004"/>
        </w:numPr>
        <w:pStyle w:val="Compact"/>
      </w:pPr>
      <w:r>
        <w:rPr>
          <w:bCs/>
          <w:b/>
        </w:rPr>
        <w:t xml:space="preserve">Last-Mile Delivery Mode (derived from Select Mode):</w:t>
      </w:r>
      <w:r>
        <w:t xml:space="preserve"> </w:t>
      </w:r>
      <w:r>
        <w:t xml:space="preserve">Road Freight (Assumed for regional distribution within the Europe Focused supply chain)</w:t>
      </w:r>
    </w:p>
    <w:p>
      <w:pPr>
        <w:numPr>
          <w:ilvl w:val="0"/>
          <w:numId w:val="1004"/>
        </w:numPr>
        <w:pStyle w:val="Compact"/>
      </w:pPr>
      <w:r>
        <w:rPr>
          <w:bCs/>
          <w:b/>
        </w:rPr>
        <w:t xml:space="preserve">Last-Mile Delivery Distance (derived from iwjluxkmit):</w:t>
      </w:r>
      <w:r>
        <w:t xml:space="preserve"> </w:t>
      </w:r>
      <w:r>
        <w:t xml:space="preserve">500 km (Assumed for regional distribution from parameter placeholder)</w:t>
      </w:r>
    </w:p>
    <w:p>
      <w:pPr>
        <w:numPr>
          <w:ilvl w:val="0"/>
          <w:numId w:val="1004"/>
        </w:numPr>
        <w:pStyle w:val="Compact"/>
      </w:pPr>
      <w:r>
        <w:rPr>
          <w:bCs/>
          <w:b/>
        </w:rPr>
        <w:t xml:space="preserve">Last-Mile Delivery Channel (Delivery Type):</w:t>
      </w:r>
      <w:r>
        <w:t xml:space="preserve"> </w:t>
      </w:r>
      <w:r>
        <w:t xml:space="preserve">Standard Parcel (Assumed based on parameter placeholder)</w:t>
      </w:r>
    </w:p>
    <w:p>
      <w:pPr>
        <w:numPr>
          <w:ilvl w:val="0"/>
          <w:numId w:val="1004"/>
        </w:numPr>
        <w:pStyle w:val="Compact"/>
      </w:pPr>
      <w:r>
        <w:rPr>
          <w:bCs/>
          <w:b/>
        </w:rPr>
        <w:t xml:space="preserve">Assumed Ocean Freight Emission Factor:</w:t>
      </w:r>
      <w:r>
        <w:t xml:space="preserve"> </w:t>
      </w:r>
      <w:r>
        <w:t xml:space="preserve">0.016 kg CO2e/tonne-km (Average for container ships)</w:t>
      </w:r>
    </w:p>
    <w:p>
      <w:pPr>
        <w:numPr>
          <w:ilvl w:val="0"/>
          <w:numId w:val="1004"/>
        </w:numPr>
        <w:pStyle w:val="Compact"/>
      </w:pPr>
      <w:r>
        <w:rPr>
          <w:bCs/>
          <w:b/>
        </w:rPr>
        <w:t xml:space="preserve">Assumed Road Freight Emission Factor:</w:t>
      </w:r>
      <w:r>
        <w:t xml:space="preserve"> </w:t>
      </w:r>
      <w:r>
        <w:t xml:space="preserve">0.09 kg CO2e/tonne-km (Average for heavy-duty trucks)</w:t>
      </w:r>
    </w:p>
    <w:bookmarkEnd w:id="26"/>
    <w:bookmarkStart w:id="27" w:name="use-phase-scope-3---downstream"/>
    <w:p>
      <w:pPr>
        <w:pStyle w:val="Heading3"/>
      </w:pPr>
      <w:r>
        <w:t xml:space="preserve">Use Phase (Scope 3 - Downstream)</w:t>
      </w:r>
    </w:p>
    <w:p>
      <w:pPr>
        <w:pStyle w:val="FirstParagraph"/>
      </w:pPr>
      <w:r>
        <w:t xml:space="preserve">The use phase impacts are crucial for durable goods and are calculated using:</w:t>
      </w:r>
    </w:p>
    <w:p>
      <w:pPr>
        <w:numPr>
          <w:ilvl w:val="0"/>
          <w:numId w:val="1005"/>
        </w:numPr>
        <w:pStyle w:val="Compact"/>
      </w:pPr>
      <w:r>
        <w:rPr>
          <w:bCs/>
          <w:b/>
        </w:rPr>
        <w:t xml:space="preserve">Product Lifespan (zfqoisjddk):</w:t>
      </w:r>
      <w:r>
        <w:t xml:space="preserve"> </w:t>
      </w:r>
      <w:r>
        <w:t xml:space="preserve">7 years (Assumed based on parameter placeholder)</w:t>
      </w:r>
    </w:p>
    <w:p>
      <w:pPr>
        <w:numPr>
          <w:ilvl w:val="0"/>
          <w:numId w:val="1005"/>
        </w:numPr>
        <w:pStyle w:val="Compact"/>
      </w:pPr>
      <w:r>
        <w:rPr>
          <w:bCs/>
          <w:b/>
        </w:rPr>
        <w:t xml:space="preserve">Energy Consumption in Use (tpfkqhxdfv):</w:t>
      </w:r>
      <w:r>
        <w:t xml:space="preserve"> </w:t>
      </w:r>
      <w:r>
        <w:t xml:space="preserve">100 kWh/unit over its lifespan (Assumed based on parameter placeholder)</w:t>
      </w:r>
    </w:p>
    <w:p>
      <w:pPr>
        <w:numPr>
          <w:ilvl w:val="0"/>
          <w:numId w:val="1005"/>
        </w:numPr>
        <w:pStyle w:val="Compact"/>
      </w:pPr>
      <w:r>
        <w:rPr>
          <w:bCs/>
          <w:b/>
        </w:rPr>
        <w:t xml:space="preserve">European Electricity Grid Emission Factor (average):</w:t>
      </w:r>
      <w:r>
        <w:t xml:space="preserve"> </w:t>
      </w:r>
      <w:r>
        <w:t xml:space="preserve">0.25 kg CO2e/kWh (Representative average for European grid mix)</w:t>
      </w:r>
    </w:p>
    <w:bookmarkEnd w:id="27"/>
    <w:bookmarkStart w:id="28" w:name="X2449e76f36fce2c9fec3c701a472f020b80894d"/>
    <w:p>
      <w:pPr>
        <w:pStyle w:val="Heading3"/>
      </w:pPr>
      <w:r>
        <w:t xml:space="preserve">End-of-Life (EoL) Scenarios (Scope 3 - Downstream)</w:t>
      </w:r>
    </w:p>
    <w:p>
      <w:pPr>
        <w:pStyle w:val="FirstParagraph"/>
      </w:pPr>
      <w:r>
        <w:t xml:space="preserve">Circular economy impacts are incorporated through:</w:t>
      </w:r>
    </w:p>
    <w:p>
      <w:pPr>
        <w:numPr>
          <w:ilvl w:val="0"/>
          <w:numId w:val="1006"/>
        </w:numPr>
        <w:pStyle w:val="Compact"/>
      </w:pPr>
      <w:r>
        <w:rPr>
          <w:bCs/>
          <w:b/>
        </w:rPr>
        <w:t xml:space="preserve">Recyclability Percentage (noqpsydxmx):</w:t>
      </w:r>
      <w:r>
        <w:t xml:space="preserve"> </w:t>
      </w:r>
      <w:r>
        <w:t xml:space="preserve">80% (Assumed based on parameter placeholder)</w:t>
      </w:r>
    </w:p>
    <w:p>
      <w:pPr>
        <w:numPr>
          <w:ilvl w:val="0"/>
          <w:numId w:val="1006"/>
        </w:numPr>
        <w:pStyle w:val="Compact"/>
      </w:pPr>
      <w:r>
        <w:rPr>
          <w:bCs/>
          <w:b/>
        </w:rPr>
        <w:t xml:space="preserve">Circular/Take-back Programs (ednxypkokq):</w:t>
      </w:r>
      <w:r>
        <w:t xml:space="preserve"> </w:t>
      </w:r>
      <w:r>
        <w:t xml:space="preserve">Yes, local collection points (Assumed based on parameter placeholder)</w:t>
      </w:r>
    </w:p>
    <w:p>
      <w:pPr>
        <w:numPr>
          <w:ilvl w:val="0"/>
          <w:numId w:val="1006"/>
        </w:numPr>
        <w:pStyle w:val="Compact"/>
      </w:pPr>
      <w:r>
        <w:rPr>
          <w:bCs/>
          <w:b/>
        </w:rPr>
        <w:t xml:space="preserve">Recycling Benefit:</w:t>
      </w:r>
      <w:r>
        <w:t xml:space="preserve"> </w:t>
      </w:r>
      <w:r>
        <w:t xml:space="preserve">Assumed 50% avoided emissions from virgin material production for recycled content.</w:t>
      </w:r>
    </w:p>
    <w:p>
      <w:r>
        <w:pict>
          <v:rect style="width:0;height:1.5pt" o:hralign="center" o:hrstd="t" o:hr="t"/>
        </w:pict>
      </w:r>
    </w:p>
    <w:bookmarkEnd w:id="28"/>
    <w:bookmarkEnd w:id="29"/>
    <w:bookmarkStart w:id="34" w:name="emission-calculation"/>
    <w:p>
      <w:pPr>
        <w:pStyle w:val="Heading2"/>
      </w:pPr>
      <w:r>
        <w:t xml:space="preserve">4. Emission Calculation</w:t>
      </w:r>
    </w:p>
    <w:p>
      <w:pPr>
        <w:pStyle w:val="FirstParagraph"/>
      </w:pPr>
      <w:r>
        <w:t xml:space="preserve">Emissions are calculated by multiplying activity data by relevant emission factors. The results are categorized according to the GHG Protocol scopes and include considerations for recent updates.</w:t>
      </w:r>
    </w:p>
    <w:bookmarkStart w:id="30" w:name="ghg-protocol-scopes-overview"/>
    <w:p>
      <w:pPr>
        <w:pStyle w:val="Heading3"/>
      </w:pPr>
      <w:r>
        <w:t xml:space="preserve">GHG Protocol Scopes Overview</w:t>
      </w:r>
    </w:p>
    <w:p>
      <w:pPr>
        <w:numPr>
          <w:ilvl w:val="0"/>
          <w:numId w:val="1007"/>
        </w:numPr>
        <w:pStyle w:val="Compact"/>
      </w:pPr>
      <w:r>
        <w:rPr>
          <w:bCs/>
          <w:b/>
        </w:rPr>
        <w:t xml:space="preserve">Scope 1 (Direct Emissions):</w:t>
      </w:r>
      <w:r>
        <w:t xml:space="preserve"> </w:t>
      </w:r>
      <w:r>
        <w:t xml:space="preserve">Emissions from operations that are owned or controlled by dhkmxwqefr. For this product-level analysis, direct fuel combustion on-site beyond electricity generation is assumed negligible or covered by the overall energy intensity and renewable energy sourcing strategy.</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consumed by dhkmxwqefr. This primarily covers the manufacturing process.</w:t>
      </w:r>
    </w:p>
    <w:p>
      <w:pPr>
        <w:numPr>
          <w:ilvl w:val="0"/>
          <w:numId w:val="1007"/>
        </w:numPr>
        <w:pStyle w:val="Compact"/>
      </w:pPr>
      <w:r>
        <w:rPr>
          <w:bCs/>
          <w:b/>
        </w:rPr>
        <w:t xml:space="preserve">Scope 3 (Other Indirect Emissions):</w:t>
      </w:r>
      <w:r>
        <w:t xml:space="preserve"> </w:t>
      </w:r>
      <w:r>
        <w:t xml:space="preserve">All other indirect emissions both upstream and downstream in the value chain. This includes raw materials, transportation, product use, and end-of-life.</w:t>
      </w:r>
    </w:p>
    <w:bookmarkEnd w:id="30"/>
    <w:bookmarkStart w:id="31" w:name="X7ef73fe3d39a8d84fae696b42f814aa0d860ec0"/>
    <w:p>
      <w:pPr>
        <w:pStyle w:val="Heading3"/>
      </w:pPr>
      <w:r>
        <w:t xml:space="preserve">2026 LSR Update (Land Sector and Removals Standard)</w:t>
      </w:r>
    </w:p>
    <w:p>
      <w:pPr>
        <w:pStyle w:val="FirstParagraph"/>
      </w:pPr>
      <w:r>
        <w:t xml:space="preserve">The GHG Protocol\'s Land Sector and Removals (LSR) Standard (effective January 1, 2027, with guidance expected in Q2 2026) is designed to provide comprehensive accounting for land-based emissions and removals. While specific land-use data for \'perovornio\' is not provided in the parameters, this analysis acknowledges the importance of the LSR Standard for full transparency in future reporting. As the standard becomes effective and accompanying guidance is published, future iterations of this PCF will integrate detailed land management and CO2 removal data where applicable, aligning with the standard\'s requirements for quantifying, reporting, and tracking land emissions, biogenic products, and technological CO2 removals across the value chain.</w:t>
      </w:r>
    </w:p>
    <w:bookmarkEnd w:id="31"/>
    <w:bookmarkStart w:id="32" w:name="scope-3-compliance"/>
    <w:p>
      <w:pPr>
        <w:pStyle w:val="Heading3"/>
      </w:pPr>
      <w:r>
        <w:t xml:space="preserve">Scope 3 Compliance</w:t>
      </w:r>
    </w:p>
    <w:p>
      <w:pPr>
        <w:pStyle w:val="FirstParagraph"/>
      </w:pPr>
      <w:r>
        <w:t xml:space="preserve">In adherence to the GHG Protocol\'s 2026 requirements, this report aims for at least 95% coverage for Scope 3 emissions. All relevant upstream and downstream categories pertaining to the lifecycle of \'perovornio\' have been identified and quantified based on the provided parameters and assumed industry-average emission factors to ensure comprehensive reporting.</w:t>
      </w:r>
    </w:p>
    <w:bookmarkEnd w:id="32"/>
    <w:bookmarkStart w:id="33" w:name="Xe61034a0a415143af148bf3fd7b4bf63d64c126"/>
    <w:p>
      <w:pPr>
        <w:pStyle w:val="Heading3"/>
      </w:pPr>
      <w:r>
        <w:t xml:space="preserve">Detailed Emissions Breakdown per Functional Unit (1.0 unit of perovornio)</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Materials Acquisition &amp; Processing</w:t>
            </w:r>
          </w:p>
        </w:tc>
        <w:tc>
          <w:tcPr/>
          <w:p>
            <w:pPr>
              <w:pStyle w:val="Compact"/>
              <w:jc w:val="left"/>
            </w:pPr>
            <w:r>
              <w:t xml:space="preserve">Scope 3 (Upstream)</w:t>
            </w:r>
          </w:p>
        </w:tc>
        <w:tc>
          <w:tcPr/>
          <w:p>
            <w:pPr>
              <w:pStyle w:val="Compact"/>
              <w:jc w:val="left"/>
            </w:pPr>
            <w:r>
              <w:t xml:space="preserve">Sum of \'Total Carbon\' from Detailed BOM</w:t>
            </w:r>
          </w:p>
        </w:tc>
        <w:tc>
          <w:tcPr/>
          <w:p>
            <w:pPr>
              <w:pStyle w:val="Compact"/>
              <w:jc w:val="left"/>
            </w:pPr>
            <w:r>
              <w:t xml:space="preserve">8.05</w:t>
            </w:r>
          </w:p>
        </w:tc>
      </w:tr>
      <w:tr>
        <w:tc>
          <w:tcPr/>
          <w:p>
            <w:pPr>
              <w:pStyle w:val="Compact"/>
              <w:jc w:val="left"/>
            </w:pPr>
            <w:r>
              <w:rPr>
                <w:bCs/>
                <w:b/>
              </w:rPr>
              <w:t xml:space="preserve">Production Energy (China)</w:t>
            </w:r>
          </w:p>
        </w:tc>
        <w:tc>
          <w:tcPr/>
          <w:p>
            <w:pPr>
              <w:pStyle w:val="Compact"/>
              <w:jc w:val="left"/>
            </w:pPr>
            <w:r>
              <w:t xml:space="preserve">Scope 2</w:t>
            </w:r>
          </w:p>
        </w:tc>
        <w:tc>
          <w:tcPr/>
          <w:p>
            <w:pPr>
              <w:pStyle w:val="Compact"/>
              <w:jc w:val="left"/>
            </w:pPr>
            <w:r>
              <w:t xml:space="preserve">(15 kWh/unit * (1 - 0.75 renewable share)) * 0.57 kg CO2e/kWh (China EF)</w:t>
            </w:r>
          </w:p>
        </w:tc>
        <w:tc>
          <w:tcPr/>
          <w:p>
            <w:pPr>
              <w:pStyle w:val="Compact"/>
              <w:jc w:val="left"/>
            </w:pPr>
            <w:r>
              <w:t xml:space="preserve">2.14</w:t>
            </w:r>
          </w:p>
        </w:tc>
      </w:tr>
      <w:tr>
        <w:tc>
          <w:tcPr/>
          <w:p>
            <w:pPr>
              <w:pStyle w:val="Compact"/>
              <w:jc w:val="left"/>
            </w:pPr>
            <w:r>
              <w:rPr>
                <w:bCs/>
                <w:b/>
              </w:rPr>
              <w:t xml:space="preserve">Transport (Primary - Ocean Freight)</w:t>
            </w:r>
          </w:p>
        </w:tc>
        <w:tc>
          <w:tcPr/>
          <w:p>
            <w:pPr>
              <w:pStyle w:val="Compact"/>
              <w:jc w:val="left"/>
            </w:pPr>
            <w:r>
              <w:t xml:space="preserve">Scope 3 (Upstream)</w:t>
            </w:r>
          </w:p>
        </w:tc>
        <w:tc>
          <w:tcPr/>
          <w:p>
            <w:pPr>
              <w:pStyle w:val="Compact"/>
              <w:jc w:val="left"/>
            </w:pPr>
            <w:r>
              <w:t xml:space="preserve">0.0033 tonnes * 5000 km * 0.016 kg CO2e/tonne-km</w:t>
            </w:r>
          </w:p>
        </w:tc>
        <w:tc>
          <w:tcPr/>
          <w:p>
            <w:pPr>
              <w:pStyle w:val="Compact"/>
              <w:jc w:val="left"/>
            </w:pPr>
            <w:r>
              <w:t xml:space="preserve">0.26</w:t>
            </w:r>
          </w:p>
        </w:tc>
      </w:tr>
      <w:tr>
        <w:tc>
          <w:tcPr/>
          <w:p>
            <w:pPr>
              <w:pStyle w:val="Compact"/>
              <w:jc w:val="left"/>
            </w:pPr>
            <w:r>
              <w:rPr>
                <w:bCs/>
                <w:b/>
              </w:rPr>
              <w:t xml:space="preserve">Transport (Last-Mile - Road Freight)</w:t>
            </w:r>
          </w:p>
        </w:tc>
        <w:tc>
          <w:tcPr/>
          <w:p>
            <w:pPr>
              <w:pStyle w:val="Compact"/>
              <w:jc w:val="left"/>
            </w:pPr>
            <w:r>
              <w:t xml:space="preserve">Scope 3 (Downstream)</w:t>
            </w:r>
          </w:p>
        </w:tc>
        <w:tc>
          <w:tcPr/>
          <w:p>
            <w:pPr>
              <w:pStyle w:val="Compact"/>
              <w:jc w:val="left"/>
            </w:pPr>
            <w:r>
              <w:t xml:space="preserve">0.0033 tonnes * 500 km * 0.09 kg CO2e/tonne-km</w:t>
            </w:r>
          </w:p>
        </w:tc>
        <w:tc>
          <w:tcPr/>
          <w:p>
            <w:pPr>
              <w:pStyle w:val="Compact"/>
              <w:jc w:val="left"/>
            </w:pPr>
            <w:r>
              <w:t xml:space="preserve">0.15</w:t>
            </w:r>
          </w:p>
        </w:tc>
      </w:tr>
      <w:tr>
        <w:tc>
          <w:tcPr/>
          <w:p>
            <w:pPr>
              <w:pStyle w:val="Compact"/>
              <w:jc w:val="left"/>
            </w:pPr>
            <w:r>
              <w:rPr>
                <w:bCs/>
                <w:b/>
              </w:rPr>
              <w:t xml:space="preserve">Use Phase (Energy Consumption)</w:t>
            </w:r>
          </w:p>
        </w:tc>
        <w:tc>
          <w:tcPr/>
          <w:p>
            <w:pPr>
              <w:pStyle w:val="Compact"/>
              <w:jc w:val="left"/>
            </w:pPr>
            <w:r>
              <w:t xml:space="preserve">Scope 3 (Downstream)</w:t>
            </w:r>
          </w:p>
        </w:tc>
        <w:tc>
          <w:tcPr/>
          <w:p>
            <w:pPr>
              <w:pStyle w:val="Compact"/>
              <w:jc w:val="left"/>
            </w:pPr>
            <w:r>
              <w:t xml:space="preserve">100 kWh/unit * 0.25 kg CO2e/kWh (Europe EF)</w:t>
            </w:r>
          </w:p>
        </w:tc>
        <w:tc>
          <w:tcPr/>
          <w:p>
            <w:pPr>
              <w:pStyle w:val="Compact"/>
              <w:jc w:val="left"/>
            </w:pPr>
            <w:r>
              <w:t xml:space="preserve">25.00</w:t>
            </w:r>
          </w:p>
        </w:tc>
      </w:tr>
      <w:tr>
        <w:tc>
          <w:tcPr/>
          <w:p>
            <w:pPr>
              <w:pStyle w:val="Compact"/>
              <w:jc w:val="left"/>
            </w:pPr>
            <w:r>
              <w:rPr>
                <w:bCs/>
                <w:b/>
              </w:rPr>
              <w:t xml:space="preserve">End-of-Life (Recycling Credit)</w:t>
            </w:r>
          </w:p>
        </w:tc>
        <w:tc>
          <w:tcPr/>
          <w:p>
            <w:pPr>
              <w:pStyle w:val="Compact"/>
              <w:jc w:val="left"/>
            </w:pPr>
            <w:r>
              <w:t xml:space="preserve">Scope 3 (Downstream)</w:t>
            </w:r>
          </w:p>
        </w:tc>
        <w:tc>
          <w:tcPr/>
          <w:p>
            <w:pPr>
              <w:pStyle w:val="Compact"/>
              <w:jc w:val="left"/>
            </w:pPr>
            <w:r>
              <w:t xml:space="preserve">- (2.64 kg recycled * 2.44 kg CO2e/kg avg. virgin material EF * 0.50 avoided emissions)</w:t>
            </w:r>
          </w:p>
        </w:tc>
        <w:tc>
          <w:tcPr/>
          <w:p>
            <w:pPr>
              <w:pStyle w:val="Compact"/>
              <w:jc w:val="left"/>
            </w:pPr>
            <w:r>
              <w:t xml:space="preserve">-3.22</w:t>
            </w:r>
          </w:p>
        </w:tc>
      </w:tr>
      <w:tr>
        <w:tc>
          <w:tcPr>
            <w:gridSpan w:val="3"/>
          </w:tcPr>
          <w:p>
            <w:pPr>
              <w:pStyle w:val="Compact"/>
              <w:jc w:val="left"/>
            </w:pPr>
            <w:r>
              <w:rPr>
                <w:bCs/>
                <w:b/>
              </w:rPr>
              <w:t xml:space="preserve">Total Product Carbon Footprint (PCF) per Functional Unit</w:t>
            </w:r>
          </w:p>
        </w:tc>
        <w:tc>
          <w:tcPr/>
          <w:p>
            <w:pPr>
              <w:pStyle w:val="Compact"/>
              <w:jc w:val="left"/>
            </w:pPr>
            <w:r>
              <w:rPr>
                <w:bCs/>
                <w:b/>
              </w:rPr>
              <w:t xml:space="preserve">32.36</w:t>
            </w:r>
          </w:p>
        </w:tc>
      </w:tr>
    </w:tbl>
    <w:p>
      <w:r>
        <w:pict>
          <v:rect style="width:0;height:1.5pt" o:hralign="center" o:hrstd="t" o:hr="t"/>
        </w:pict>
      </w:r>
    </w:p>
    <w:bookmarkEnd w:id="33"/>
    <w:bookmarkEnd w:id="34"/>
    <w:bookmarkStart w:id="38" w:name="review-report"/>
    <w:p>
      <w:pPr>
        <w:pStyle w:val="Heading2"/>
      </w:pPr>
      <w:r>
        <w:t xml:space="preserve">5. Review &amp; Report</w:t>
      </w:r>
    </w:p>
    <w:bookmarkStart w:id="35" w:name="hotspot-analysis"/>
    <w:p>
      <w:pPr>
        <w:pStyle w:val="Heading3"/>
      </w:pPr>
      <w:r>
        <w:t xml:space="preserve">Hotspot Analysis</w:t>
      </w:r>
    </w:p>
    <w:p>
      <w:pPr>
        <w:pStyle w:val="FirstParagraph"/>
      </w:pPr>
      <w:r>
        <w:t xml:space="preserve">The analysis reveals the following major emission hotspots for \'perovornio\':</w:t>
      </w:r>
    </w:p>
    <w:p>
      <w:pPr>
        <w:numPr>
          <w:ilvl w:val="0"/>
          <w:numId w:val="1008"/>
        </w:numPr>
        <w:pStyle w:val="Compact"/>
      </w:pPr>
      <w:r>
        <w:rPr>
          <w:bCs/>
          <w:b/>
        </w:rPr>
        <w:t xml:space="preserve">Use Phase (77.2%):</w:t>
      </w:r>
      <w:r>
        <w:t xml:space="preserve"> </w:t>
      </w:r>
      <w:r>
        <w:t xml:space="preserve">The most significant contributor to the PCF is the energy consumption during the product\'s lifespan. This highlights that while manufacturing emissions are important, the consumer\'s energy usage patterns and the energy mix of the region of use critically influence the overall footprint.</w:t>
      </w:r>
    </w:p>
    <w:p>
      <w:pPr>
        <w:numPr>
          <w:ilvl w:val="0"/>
          <w:numId w:val="1008"/>
        </w:numPr>
        <w:pStyle w:val="Compact"/>
      </w:pPr>
      <w:r>
        <w:rPr>
          <w:bCs/>
          <w:b/>
        </w:rPr>
        <w:t xml:space="preserve">Materials Acquisition &amp; Processing (24.9%):</w:t>
      </w:r>
      <w:r>
        <w:t xml:space="preserve"> </w:t>
      </w:r>
      <w:r>
        <w:t xml:space="preserve">The embodied emissions in the raw materials, particularly the steel component and plastic housing, represent the second largest impact category.</w:t>
      </w:r>
    </w:p>
    <w:p>
      <w:pPr>
        <w:numPr>
          <w:ilvl w:val="0"/>
          <w:numId w:val="1008"/>
        </w:numPr>
        <w:pStyle w:val="Compact"/>
      </w:pPr>
      <w:r>
        <w:rPr>
          <w:bCs/>
          <w:b/>
        </w:rPr>
        <w:t xml:space="preserve">Production Energy (6.6%):</w:t>
      </w:r>
      <w:r>
        <w:t xml:space="preserve"> </w:t>
      </w:r>
      <w:r>
        <w:t xml:space="preserve">Despite 75% renewable energy usage, the remaining grid electricity from China\'s mix contributes noticeably.</w:t>
      </w:r>
    </w:p>
    <w:p>
      <w:pPr>
        <w:numPr>
          <w:ilvl w:val="0"/>
          <w:numId w:val="1008"/>
        </w:numPr>
        <w:pStyle w:val="Compact"/>
      </w:pPr>
      <w:r>
        <w:rPr>
          <w:bCs/>
          <w:b/>
        </w:rPr>
        <w:t xml:space="preserve">Transport (1.3%):</w:t>
      </w:r>
      <w:r>
        <w:t xml:space="preserve"> </w:t>
      </w:r>
      <w:r>
        <w:t xml:space="preserve">Both primary and last-mile transport contribute a smaller, but still relevant, portion of emissions.</w:t>
      </w:r>
    </w:p>
    <w:p>
      <w:pPr>
        <w:pStyle w:val="FirstParagraph"/>
      </w:pPr>
      <w:r>
        <w:t xml:space="preserve">The End-of-Life recycling credit provides a significant offset, demonstrating the positive impact of circular economy practices.</w:t>
      </w:r>
    </w:p>
    <w:bookmarkEnd w:id="35"/>
    <w:bookmarkStart w:id="36" w:name="reliability-and-limitations"/>
    <w:p>
      <w:pPr>
        <w:pStyle w:val="Heading3"/>
      </w:pPr>
      <w:r>
        <w:t xml:space="preserve">Reliability and Limitations</w:t>
      </w:r>
    </w:p>
    <w:p>
      <w:pPr>
        <w:pStyle w:val="FirstParagraph"/>
      </w:pPr>
      <w:r>
        <w:t xml:space="preserve">This report is based on a combination of primary (BOM data) and secondary data (industry-average emission factors). While the provided BOM data offers high accuracy for material impacts, several parameters were placeholders and required assumptions:</w:t>
      </w:r>
    </w:p>
    <w:p>
      <w:pPr>
        <w:numPr>
          <w:ilvl w:val="0"/>
          <w:numId w:val="1009"/>
        </w:numPr>
        <w:pStyle w:val="Compact"/>
      </w:pPr>
      <w:r>
        <w:t xml:space="preserve">Specific numerical values were assumed for \'Transport Distance (iwjluxkmit)\', \'Renewable Energy Usage (pdyqnvtekk)\', \'Energy Intensity (yzpiueqzqt)\', \'Product Lifespan (zfqoisjddk)\', \'Energy Consumption in Use (tpfkqhxdfv)\', and \'Recyclability Percentage (noqpsydxmx)\'. These assumptions directly influence the calculated PCF.</w:t>
      </w:r>
    </w:p>
    <w:p>
      <w:pPr>
        <w:numPr>
          <w:ilvl w:val="0"/>
          <w:numId w:val="1009"/>
        </w:numPr>
        <w:pStyle w:val="Compact"/>
      </w:pPr>
      <w:r>
        <w:t xml:space="preserve">Emission factors for electricity grids (China, Europe), ocean freight, and road freight are based on recent industry averages (e.g., IEA, MEE, DEFRA, GLEC) and are considered representative but may vary depending on specific supplier and carrier data.</w:t>
      </w:r>
    </w:p>
    <w:p>
      <w:pPr>
        <w:numPr>
          <w:ilvl w:val="0"/>
          <w:numId w:val="1009"/>
        </w:numPr>
        <w:pStyle w:val="Compact"/>
      </w:pPr>
      <w:r>
        <w:t xml:space="preserve">The qualitative application of the LSR Standard and Scope 3 compliance is based on the framework; actual verification would require specific primary data collection.</w:t>
      </w:r>
    </w:p>
    <w:p>
      <w:pPr>
        <w:numPr>
          <w:ilvl w:val="0"/>
          <w:numId w:val="1009"/>
        </w:numPr>
        <w:pStyle w:val="Compact"/>
      </w:pPr>
      <w:r>
        <w:t xml:space="preserve">The 95% Scope 3 coverage target is met by addressing all provided categories with reasonable assumptions. Future reporting will benefit from increasing the share of primary activity data from supply chain partners.</w:t>
      </w:r>
    </w:p>
    <w:bookmarkEnd w:id="36"/>
    <w:bookmarkStart w:id="37" w:name="recommendations-for-improvement"/>
    <w:p>
      <w:pPr>
        <w:pStyle w:val="Heading3"/>
      </w:pPr>
      <w:r>
        <w:t xml:space="preserve">Recommendations for Improvement</w:t>
      </w:r>
    </w:p>
    <w:p>
      <w:pPr>
        <w:pStyle w:val="FirstParagraph"/>
      </w:pPr>
      <w:r>
        <w:t xml:space="preserve">Based on this analysis, dhkmxwqefr should consider:</w:t>
      </w:r>
    </w:p>
    <w:p>
      <w:pPr>
        <w:numPr>
          <w:ilvl w:val="0"/>
          <w:numId w:val="1010"/>
        </w:numPr>
        <w:pStyle w:val="Compact"/>
      </w:pPr>
      <w:r>
        <w:rPr>
          <w:bCs/>
          <w:b/>
        </w:rPr>
        <w:t xml:space="preserve">Use Phase Optimization:</w:t>
      </w:r>
      <w:r>
        <w:t xml:space="preserve"> </w:t>
      </w:r>
      <w:r>
        <w:t xml:space="preserve">Investigate opportunities to reduce energy consumption during the \'perovornio\' product use, potentially through energy-efficient designs or user guidance.</w:t>
      </w:r>
    </w:p>
    <w:p>
      <w:pPr>
        <w:numPr>
          <w:ilvl w:val="0"/>
          <w:numId w:val="1010"/>
        </w:numPr>
        <w:pStyle w:val="Compact"/>
      </w:pPr>
      <w:r>
        <w:rPr>
          <w:bCs/>
          <w:b/>
        </w:rPr>
        <w:t xml:space="preserve">Sustainable Material Sourcing:</w:t>
      </w:r>
      <w:r>
        <w:t xml:space="preserve"> </w:t>
      </w:r>
      <w:r>
        <w:t xml:space="preserve">Explore materials with lower embodied carbon, potentially through increased recycled content or alternative materials with lower impact.</w:t>
      </w:r>
    </w:p>
    <w:p>
      <w:pPr>
        <w:numPr>
          <w:ilvl w:val="0"/>
          <w:numId w:val="1010"/>
        </w:numPr>
        <w:pStyle w:val="Compact"/>
      </w:pPr>
      <w:r>
        <w:rPr>
          <w:bCs/>
          <w:b/>
        </w:rPr>
        <w:t xml:space="preserve">Enhance Renewable Energy:</w:t>
      </w:r>
      <w:r>
        <w:t xml:space="preserve"> </w:t>
      </w:r>
      <w:r>
        <w:t xml:space="preserve">While 75% renewable energy is commendable, exploring options to achieve 100% renewable energy for production would further reduce Scope 2 emissions.</w:t>
      </w:r>
    </w:p>
    <w:p>
      <w:pPr>
        <w:numPr>
          <w:ilvl w:val="0"/>
          <w:numId w:val="1010"/>
        </w:numPr>
        <w:pStyle w:val="Compact"/>
      </w:pPr>
      <w:r>
        <w:rPr>
          <w:bCs/>
          <w:b/>
        </w:rPr>
        <w:t xml:space="preserve">Logistics Optimization:</w:t>
      </w:r>
      <w:r>
        <w:t xml:space="preserve"> </w:t>
      </w:r>
      <w:r>
        <w:t xml:space="preserve">Seek out logistics providers with lower-emission fleets or explore alternative transport modes for inbound and outbound logistics where feasible.</w:t>
      </w:r>
    </w:p>
    <w:p>
      <w:pPr>
        <w:numPr>
          <w:ilvl w:val="0"/>
          <w:numId w:val="1010"/>
        </w:numPr>
        <w:pStyle w:val="Compact"/>
      </w:pPr>
      <w:r>
        <w:rPr>
          <w:bCs/>
          <w:b/>
        </w:rPr>
        <w:t xml:space="preserve">Data Collection:</w:t>
      </w:r>
      <w:r>
        <w:t xml:space="preserve"> </w:t>
      </w:r>
      <w:r>
        <w:t xml:space="preserve">Prioritize collecting primary data for all key lifecycle stages, especially for energy consumption in the use phase and specific transport routes, to improve the accuracy and robustness of future PCF assessments.</w:t>
      </w:r>
    </w:p>
    <w:p>
      <w:pPr>
        <w:pStyle w:val="FirstParagraph"/>
      </w:pPr>
      <w:r>
        <w:t xml:space="preserve">Confidential - Internal Use Only | Page 1 of 1 (Dynamic pagination would apply in a print context)</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perovornio - dhkmxwqefr</dc:title>
  <dc:creator/>
  <dc:description>Detailed Product Carbon Footprint (PCF) analysis report for \'perovornio\' by Senior Sustainability Consultant xndwkozxpl for company dhkmxwqefr, adhering to GHG Protocol standards and 2026 updates.</dc:description>
  <dc:language>en</dc:language>
  <cp:keywords/>
  <dcterms:created xsi:type="dcterms:W3CDTF">2026-05-30T22:14:04Z</dcterms:created>
  <dcterms:modified xsi:type="dcterms:W3CDTF">2026-05-30T22:14:04Z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