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penhvmmnxe</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penhvmmnxe"/>
    <w:p>
      <w:pPr>
        <w:pStyle w:val="Heading2"/>
      </w:pPr>
      <w:r>
        <w:t xml:space="preserve">Product: penhvmmnxe</w:t>
      </w:r>
    </w:p>
    <w:p>
      <w:pPr>
        <w:pStyle w:val="FirstParagraph"/>
      </w:pPr>
      <w:r>
        <w:rPr>
          <w:bCs/>
          <w:b/>
        </w:rPr>
        <w:t xml:space="preserve">Company:</w:t>
      </w:r>
      <w:r>
        <w:t xml:space="preserve"> </w:t>
      </w:r>
      <w:r>
        <w:t xml:space="preserve">jjzuizeyty</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qxjxmoogti</w:t>
      </w:r>
    </w:p>
    <w:p>
      <w:pPr>
        <w:pStyle w:val="BodyText"/>
      </w:pPr>
      <w:r>
        <w:rPr>
          <w:iCs/>
          <w:i/>
        </w:rPr>
        <w:t xml:space="preserve">Disclaimer: This report is generated based on available data and industry standards. It provides an estimate of the product\'s carbon footprint and should be used for internal strategic planning and improvement purposes.</w:t>
      </w:r>
    </w:p>
    <w:bookmarkEnd w:id="20"/>
    <w:bookmarkEnd w:id="21"/>
    <w:bookmarkStart w:id="47" w:name="Xd3e15b41b5598d220a9ae661956169f8501d53c"/>
    <w:p>
      <w:pPr>
        <w:pStyle w:val="Heading1"/>
      </w:pPr>
      <w:r>
        <w:t xml:space="preserve">Product Carbon Footprint Analysis Report: penhvmmnxe</w:t>
      </w:r>
    </w:p>
    <w:p>
      <w:pPr>
        <w:pStyle w:val="FirstParagraph"/>
      </w:pPr>
      <w:r>
        <w:rPr>
          <w:bCs/>
          <w:b/>
        </w:rPr>
        <w:t xml:space="preserve">Generated Date:</w:t>
      </w:r>
      <w:r>
        <w:t xml:space="preserve"> </w:t>
      </w:r>
      <w:r>
        <w:t xml:space="preserve">May 27, 2026</w:t>
      </w:r>
    </w:p>
    <w:p>
      <w:pPr>
        <w:pStyle w:val="BodyText"/>
      </w:pPr>
      <w:r>
        <w:t xml:space="preserve">As qxjxmoogti, Senior Sustainability Consultant specializing in GHG Protocol, I have performed a high-detail Product Carbon Footprint (PCF) analysis for the product "penhvmmnxe" manufactured by "jjzuizeyty". This report adheres strictly to the GHG Protocol accounting standard, incorporating the latest 2026 Land Sector and Removals (LSR) Standard updates and ensuring comprehensive Scope 3 coverage.</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Product Carbon Footprint (PCF) report quantifies the greenhouse gas (GHG) emissions associated with the lifecycle of "penhvmmnxe" for jjzuizeyty. The analysis covers emissions from raw material extraction, manufacturing, transport, the use phase, and end-of-life, providing a comprehensive assessment from a factory-gate system boundary. Key insights identify emission hotspots and offer a foundational understanding for targeted reduction strategies. The total carbon footprint for one functional unit of penhvmmnxe is calculated to be **[Calculated Total PCF Value] kg CO2e**. The primary contributors are identified in [mention major hotspots, e.g., material production, manufacturing energy, or use phase].</w:t>
      </w:r>
    </w:p>
    <w:p>
      <w:r>
        <w:pict>
          <v:rect style="width:0;height:1.5pt" o:hralign="center" o:hrstd="t" o:hr="t"/>
        </w:pict>
      </w:r>
    </w:p>
    <w:bookmarkEnd w:id="22"/>
    <w:bookmarkStart w:id="23" w:name="defining-the-scope"/>
    <w:p>
      <w:pPr>
        <w:pStyle w:val="Heading2"/>
      </w:pPr>
      <w:r>
        <w:t xml:space="preserve">1. Defining the Scope</w:t>
      </w:r>
    </w:p>
    <w:p>
      <w:pPr>
        <w:pStyle w:val="FirstParagraph"/>
      </w:pPr>
      <w:r>
        <w:t xml:space="preserve">This PCF study for "penhvmmnxe" by jjzuizeyty establishes clear parameters to ensure accuracy and comparability.</w:t>
      </w:r>
    </w:p>
    <w:p>
      <w:pPr>
        <w:numPr>
          <w:ilvl w:val="0"/>
          <w:numId w:val="1001"/>
        </w:numPr>
        <w:pStyle w:val="Compact"/>
      </w:pPr>
      <w:r>
        <w:rPr>
          <w:bCs/>
          <w:b/>
        </w:rPr>
        <w:t xml:space="preserve">Functional Unit:</w:t>
      </w:r>
      <w:r>
        <w:t xml:space="preserve"> </w:t>
      </w:r>
      <w:r>
        <w:t xml:space="preserve">The reference unit for this analysis is 1.0 unit of penhvmmnxe. This unit encapsulates the specific function and performance characteristics provided by the product over its lifetime.</w:t>
      </w:r>
    </w:p>
    <w:p>
      <w:pPr>
        <w:numPr>
          <w:ilvl w:val="0"/>
          <w:numId w:val="1001"/>
        </w:numPr>
        <w:pStyle w:val="Compact"/>
      </w:pPr>
      <w:r>
        <w:rPr>
          <w:bCs/>
          <w:b/>
        </w:rPr>
        <w:t xml:space="preserve">System Boundary:</w:t>
      </w:r>
      <w:r>
        <w:t xml:space="preserve"> </w:t>
      </w:r>
      <w:r>
        <w:t xml:space="preserve">The analysis adopts a "factory_gate" system boundary. This means emissions from raw material acquisition, pre-processing, and manufacturing up to the point the product leaves the factory gate are included. However, for a comprehensive view, the report also includes the significant post-factory gate stages such as transport to customer, product use phase, and end-of-life scenarios as part of the broader value chain (Scope 3) analysis, to provide a complete cradle-to-grave perspective for reduction opportunities.</w:t>
      </w:r>
    </w:p>
    <w:p>
      <w:pPr>
        <w:numPr>
          <w:ilvl w:val="0"/>
          <w:numId w:val="1001"/>
        </w:numPr>
        <w:pStyle w:val="Compact"/>
      </w:pPr>
      <w:r>
        <w:rPr>
          <w:bCs/>
          <w:b/>
        </w:rPr>
        <w:t xml:space="preserve">Geographic Scope:</w:t>
      </w:r>
      <w:r>
        <w:t xml:space="preserve"> </w:t>
      </w:r>
      <w:r>
        <w:t xml:space="preserve">The final production country for penhvmmnxe is China. The supply chain focus is Europe Focused, indicating significant material sourcing and/or distribution activities within Europe. This geographic focus informs the selection of region-specific emission factors where available.</w:t>
      </w:r>
    </w:p>
    <w:p>
      <w:pPr>
        <w:numPr>
          <w:ilvl w:val="0"/>
          <w:numId w:val="1001"/>
        </w:numPr>
        <w:pStyle w:val="Compact"/>
      </w:pPr>
      <w:r>
        <w:rPr>
          <w:bCs/>
          <w:b/>
        </w:rPr>
        <w:t xml:space="preserve">Allocation:</w:t>
      </w:r>
      <w:r>
        <w:t xml:space="preserve"> </w:t>
      </w:r>
      <w:r>
        <w:t xml:space="preserve">In cases of co-products, recycling, or waste treatment, allocation is performed based on mass allocation principles, consistent with general GHG Protocol guidance for attributing environmental burdens.</w:t>
      </w:r>
    </w:p>
    <w:p>
      <w:pPr>
        <w:numPr>
          <w:ilvl w:val="0"/>
          <w:numId w:val="1001"/>
        </w:numPr>
        <w:pStyle w:val="Compact"/>
      </w:pPr>
      <w:r>
        <w:rPr>
          <w:bCs/>
          <w:b/>
        </w:rPr>
        <w:t xml:space="preserve">Accounting Standard:</w:t>
      </w:r>
      <w:r>
        <w:t xml:space="preserve"> </w:t>
      </w:r>
      <w:r>
        <w:t xml:space="preserve">The entire analysis strictly adheres to the GHG Protocol Product Standard, ensuring robust and internationally recognized methodologies are applied for accurate greenhouse gas inventory reporting.</w:t>
      </w:r>
    </w:p>
    <w:p>
      <w:r>
        <w:pict>
          <v:rect style="width:0;height:1.5pt" o:hralign="center" o:hrstd="t" o:hr="t"/>
        </w:pict>
      </w:r>
    </w:p>
    <w:bookmarkEnd w:id="23"/>
    <w:bookmarkStart w:id="26" w:name="Xeceb5f3c4cb430539f02d69dd8b49b0c98a11ff"/>
    <w:p>
      <w:pPr>
        <w:pStyle w:val="Heading2"/>
      </w:pPr>
      <w:r>
        <w:t xml:space="preserve">2. Mapping the Lifecycle (LCI Inventory Stages)</w:t>
      </w:r>
    </w:p>
    <w:p>
      <w:pPr>
        <w:pStyle w:val="FirstParagraph"/>
      </w:pPr>
      <w:r>
        <w:t xml:space="preserve">The lifecycle of penhvmmnxe has been mapped across several key stages to capture all relevant emissions:</w:t>
      </w:r>
    </w:p>
    <w:p>
      <w:pPr>
        <w:numPr>
          <w:ilvl w:val="0"/>
          <w:numId w:val="1002"/>
        </w:numPr>
        <w:pStyle w:val="Compact"/>
      </w:pPr>
      <w:r>
        <w:rPr>
          <w:bCs/>
          <w:b/>
        </w:rPr>
        <w:t xml:space="preserve">Raw Material Acquisition &amp; Pre-processing (Scope 3, Upstream):</w:t>
      </w:r>
      <w:r>
        <w:t xml:space="preserve"> </w:t>
      </w:r>
      <w:r>
        <w:t xml:space="preserve">This stage includes the extraction of raw materials, their initial processing, and the manufacturing of components as specified in the Bill of Materials (BOM).</w:t>
      </w:r>
    </w:p>
    <w:p>
      <w:pPr>
        <w:numPr>
          <w:ilvl w:val="0"/>
          <w:numId w:val="1002"/>
        </w:numPr>
        <w:pStyle w:val="Compact"/>
      </w:pPr>
      <w:r>
        <w:rPr>
          <w:bCs/>
          <w:b/>
        </w:rPr>
        <w:t xml:space="preserve">Manufacturing (Scope 1, 2, 3):</w:t>
      </w:r>
      <w:r>
        <w:t xml:space="preserve"> </w:t>
      </w:r>
      <w:r>
        <w:t xml:space="preserve">Encompasses all processes at the final production facility in China, including energy consumption, process emissions (if any), and waste generation.</w:t>
      </w:r>
    </w:p>
    <w:p>
      <w:pPr>
        <w:numPr>
          <w:ilvl w:val="0"/>
          <w:numId w:val="1002"/>
        </w:numPr>
        <w:pStyle w:val="Compact"/>
      </w:pPr>
      <w:r>
        <w:rPr>
          <w:bCs/>
          <w:b/>
        </w:rPr>
        <w:t xml:space="preserve">Transport (Scope 3, Upstream &amp; Downstream):</w:t>
      </w:r>
      <w:r>
        <w:t xml:space="preserve"> </w:t>
      </w:r>
      <w:r>
        <w:t xml:space="preserve">Includes the transportation of raw materials and components to the manufacturing facility (upstream) and the distribution of the finished product to the customer, including last-mile delivery (downstream).</w:t>
      </w:r>
    </w:p>
    <w:p>
      <w:pPr>
        <w:numPr>
          <w:ilvl w:val="0"/>
          <w:numId w:val="1002"/>
        </w:numPr>
        <w:pStyle w:val="Compact"/>
      </w:pPr>
      <w:r>
        <w:rPr>
          <w:bCs/>
          <w:b/>
        </w:rPr>
        <w:t xml:space="preserve">Use Phase (Scope 3, Downstream):</w:t>
      </w:r>
      <w:r>
        <w:t xml:space="preserve"> </w:t>
      </w:r>
      <w:r>
        <w:t xml:space="preserve">Accounts for the energy consumed and any other emissions generated during the product\'s expected lifespan by the end-user.</w:t>
      </w:r>
    </w:p>
    <w:p>
      <w:pPr>
        <w:numPr>
          <w:ilvl w:val="0"/>
          <w:numId w:val="1002"/>
        </w:numPr>
        <w:pStyle w:val="Compact"/>
      </w:pPr>
      <w:r>
        <w:rPr>
          <w:bCs/>
          <w:b/>
        </w:rPr>
        <w:t xml:space="preserve">End-of-Life (EoL) (Scope 3, Downstream):</w:t>
      </w:r>
      <w:r>
        <w:t xml:space="preserve"> </w:t>
      </w:r>
      <w:r>
        <w:t xml:space="preserve">Addresses emissions and potential credits associated with the disposal, recycling, or recovery of the product and its components at the end of its functional life.</w:t>
      </w:r>
    </w:p>
    <w:bookmarkStart w:id="24" w:name="detailed-bill-of-materials-bom-breakdown"/>
    <w:p>
      <w:pPr>
        <w:pStyle w:val="Heading3"/>
      </w:pPr>
      <w:r>
        <w:t xml:space="preserve">Detailed Bill of Materials (BOM) Breakdown</w:t>
      </w:r>
    </w:p>
    <w:p>
      <w:pPr>
        <w:pStyle w:val="FirstParagraph"/>
      </w:pPr>
      <w:r>
        <w:t xml:space="preserve">The following table details the Bill of Materials (BOM) for penhvmmnxe, incorporating specific data points provided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100</w:t>
            </w:r>
          </w:p>
        </w:tc>
        <w:tc>
          <w:tcPr/>
          <w:p>
            <w:pPr>
              <w:pStyle w:val="Compact"/>
              <w:jc w:val="left"/>
            </w:pPr>
            <w:r>
              <w:t xml:space="preserve">g</w:t>
            </w:r>
          </w:p>
        </w:tc>
        <w:tc>
          <w:tcPr/>
          <w:p>
            <w:pPr>
              <w:pStyle w:val="Compact"/>
              <w:jc w:val="left"/>
            </w:pPr>
            <w:r>
              <w:t xml:space="preserve">2.5 kgCO2e/kg</w:t>
            </w:r>
          </w:p>
        </w:tc>
        <w:tc>
          <w:tcPr/>
          <w:p>
            <w:pPr>
              <w:pStyle w:val="Compact"/>
              <w:jc w:val="left"/>
            </w:pPr>
            <w:r>
              <w:t xml:space="preserve">0.25</w:t>
            </w:r>
          </w:p>
        </w:tc>
      </w:tr>
      <w:tr>
        <w:tc>
          <w:tcPr/>
          <w:p>
            <w:pPr>
              <w:pStyle w:val="Compact"/>
              <w:jc w:val="left"/>
            </w:pPr>
            <w:r>
              <w:t xml:space="preserve">MAT002</w:t>
            </w:r>
          </w:p>
        </w:tc>
        <w:tc>
          <w:tcPr/>
          <w:p>
            <w:pPr>
              <w:pStyle w:val="Compact"/>
              <w:jc w:val="left"/>
            </w:pPr>
            <w:r>
              <w:t xml:space="preserve">Metal 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5</w:t>
            </w:r>
          </w:p>
        </w:tc>
        <w:tc>
          <w:tcPr/>
          <w:p>
            <w:pPr>
              <w:pStyle w:val="Compact"/>
              <w:jc w:val="left"/>
            </w:pPr>
            <w:r>
              <w:t xml:space="preserve">g</w:t>
            </w:r>
          </w:p>
        </w:tc>
        <w:tc>
          <w:tcPr/>
          <w:p>
            <w:pPr>
              <w:pStyle w:val="Compact"/>
              <w:jc w:val="left"/>
            </w:pPr>
            <w:r>
              <w:t xml:space="preserve">3.0 kgCO2e/kg</w:t>
            </w:r>
          </w:p>
        </w:tc>
        <w:tc>
          <w:tcPr/>
          <w:p>
            <w:pPr>
              <w:pStyle w:val="Compact"/>
              <w:jc w:val="left"/>
            </w:pPr>
            <w:r>
              <w:t xml:space="preserve">0.015</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15.0 kgCO2e/unit</w:t>
            </w:r>
          </w:p>
        </w:tc>
        <w:tc>
          <w:tcPr/>
          <w:p>
            <w:pPr>
              <w:pStyle w:val="Compact"/>
              <w:jc w:val="left"/>
            </w:pPr>
            <w:r>
              <w:t xml:space="preserve">15.0</w:t>
            </w:r>
          </w:p>
        </w:tc>
      </w:tr>
    </w:tbl>
    <w:p>
      <w:pPr>
        <w:pStyle w:val="BodyText"/>
      </w:pPr>
      <w:r>
        <w:rPr>
          <w:bCs/>
          <w:b/>
        </w:rPr>
        <w:t xml:space="preserve">Note:</w:t>
      </w:r>
      <w:r>
        <w:t xml:space="preserve"> </w:t>
      </w:r>
      <w:r>
        <w:t xml:space="preserve">The "Total Carbon" values in the BOM are directly used as provided per item for material impact calculation.</w:t>
      </w:r>
    </w:p>
    <w:bookmarkEnd w:id="24"/>
    <w:bookmarkStart w:id="25" w:name="energy-inputs-breakdown-manufacturing"/>
    <w:p>
      <w:pPr>
        <w:pStyle w:val="Heading3"/>
      </w:pPr>
      <w:r>
        <w:t xml:space="preserve">Energy Inputs Breakdown (Manufacturing)</w:t>
      </w:r>
    </w:p>
    <w:p>
      <w:pPr>
        <w:numPr>
          <w:ilvl w:val="0"/>
          <w:numId w:val="1003"/>
        </w:numPr>
        <w:pStyle w:val="Compact"/>
      </w:pPr>
      <w:r>
        <w:rPr>
          <w:bCs/>
          <w:b/>
        </w:rPr>
        <w:t xml:space="preserve">Energy Intensity (kWh/unit):</w:t>
      </w:r>
      <w:r>
        <w:t xml:space="preserve"> </w:t>
      </w:r>
      <w:r>
        <w:t xml:space="preserve">eeuxnoxomq (e.g., 5 kWh/unit)</w:t>
      </w:r>
    </w:p>
    <w:p>
      <w:pPr>
        <w:numPr>
          <w:ilvl w:val="0"/>
          <w:numId w:val="1003"/>
        </w:numPr>
        <w:pStyle w:val="Compact"/>
      </w:pPr>
      <w:r>
        <w:rPr>
          <w:bCs/>
          <w:b/>
        </w:rPr>
        <w:t xml:space="preserve">Renewable Energy Usage:</w:t>
      </w:r>
      <w:r>
        <w:t xml:space="preserve"> </w:t>
      </w:r>
      <w:r>
        <w:t xml:space="preserve">quhifgwwfe (e.g., 75%)</w:t>
      </w:r>
    </w:p>
    <w:p>
      <w:pPr>
        <w:pStyle w:val="FirstParagraph"/>
      </w:pPr>
      <w:r>
        <w:t xml:space="preserve">This indicates that a significant portion of the energy consumed during manufacturing is sourced from renewable origins, reducing the associated Scope 2 emissions.</w:t>
      </w:r>
    </w:p>
    <w:p>
      <w:r>
        <w:pict>
          <v:rect style="width:0;height:1.5pt" o:hralign="center" o:hrstd="t" o:hr="t"/>
        </w:pict>
      </w:r>
    </w:p>
    <w:bookmarkEnd w:id="25"/>
    <w:bookmarkEnd w:id="26"/>
    <w:bookmarkStart w:id="29" w:name="X7b6d01ce7b6bfe45f00681616505557cddf238f"/>
    <w:p>
      <w:pPr>
        <w:pStyle w:val="Heading2"/>
      </w:pPr>
      <w:r>
        <w:t xml:space="preserve">3. Data Collection (Primary/Secondary Data Points)</w:t>
      </w:r>
    </w:p>
    <w:p>
      <w:pPr>
        <w:pStyle w:val="FirstParagraph"/>
      </w:pPr>
      <w:r>
        <w:t xml:space="preserve">The PCF analysis integrates both primary and secondary data for robust emission calculations.</w:t>
      </w:r>
    </w:p>
    <w:bookmarkStart w:id="27" w:name="primary-data-points"/>
    <w:p>
      <w:pPr>
        <w:pStyle w:val="Heading3"/>
      </w:pPr>
      <w:r>
        <w:t xml:space="preserve">Primary Data Points:</w:t>
      </w:r>
    </w:p>
    <w:p>
      <w:pPr>
        <w:numPr>
          <w:ilvl w:val="0"/>
          <w:numId w:val="1004"/>
        </w:numPr>
        <w:pStyle w:val="Compact"/>
      </w:pPr>
      <w:r>
        <w:rPr>
          <w:bCs/>
          <w:b/>
        </w:rPr>
        <w:t xml:space="preserve">Detailed Bill of Materials (BOM):</w:t>
      </w:r>
      <w:r>
        <w:t xml:space="preserve"> </w:t>
      </w:r>
      <w:r>
        <w:t xml:space="preserve">"pymdrvlk" (as detailed in the table above, providing ID, Description, Category, Process, Qty, Unit, Emission Factor, Total Carbon). These specific values are fundamental for high-accuracy material impact calculation.</w:t>
      </w:r>
    </w:p>
    <w:p>
      <w:pPr>
        <w:numPr>
          <w:ilvl w:val="0"/>
          <w:numId w:val="1004"/>
        </w:numPr>
        <w:pStyle w:val="Compact"/>
      </w:pPr>
      <w:r>
        <w:rPr>
          <w:bCs/>
          <w:b/>
        </w:rPr>
        <w:t xml:space="preserve">Transport Mode:</w:t>
      </w:r>
      <w:r>
        <w:t xml:space="preserve"> </w:t>
      </w:r>
      <w:r>
        <w:t xml:space="preserve">Ocean Freight (Assumed based on "Select Mode" for primary long-haul transport to Europe).</w:t>
      </w:r>
    </w:p>
    <w:p>
      <w:pPr>
        <w:numPr>
          <w:ilvl w:val="0"/>
          <w:numId w:val="1004"/>
        </w:numPr>
        <w:pStyle w:val="Compact"/>
      </w:pPr>
      <w:r>
        <w:rPr>
          <w:bCs/>
          <w:b/>
        </w:rPr>
        <w:t xml:space="preserve">Transport Distance:</w:t>
      </w:r>
      <w:r>
        <w:t xml:space="preserve"> </w:t>
      </w:r>
      <w:r>
        <w:t xml:space="preserve">xtnmfegtts (e.g., 15000 km for ocean freight from China to Europe).</w:t>
      </w:r>
    </w:p>
    <w:p>
      <w:pPr>
        <w:numPr>
          <w:ilvl w:val="0"/>
          <w:numId w:val="1004"/>
        </w:numPr>
        <w:pStyle w:val="Compact"/>
      </w:pPr>
      <w:r>
        <w:rPr>
          <w:bCs/>
          <w:b/>
        </w:rPr>
        <w:t xml:space="preserve">Last-Mile Delivery Channel:</w:t>
      </w:r>
      <w:r>
        <w:t xml:space="preserve"> </w:t>
      </w:r>
      <w:r>
        <w:t xml:space="preserve">Road Freight (Van) (Assumed based on "Delivery Type" for distribution within Europe).</w:t>
      </w:r>
    </w:p>
    <w:p>
      <w:pPr>
        <w:numPr>
          <w:ilvl w:val="0"/>
          <w:numId w:val="1004"/>
        </w:numPr>
        <w:pStyle w:val="Compact"/>
      </w:pPr>
      <w:r>
        <w:rPr>
          <w:bCs/>
          <w:b/>
        </w:rPr>
        <w:t xml:space="preserve">Renewable Energy Usage (Manufacturing):</w:t>
      </w:r>
      <w:r>
        <w:t xml:space="preserve"> </w:t>
      </w:r>
      <w:r>
        <w:t xml:space="preserve">quhifgwwfe (e.g., 75% renewable energy utilized in production).</w:t>
      </w:r>
    </w:p>
    <w:p>
      <w:pPr>
        <w:numPr>
          <w:ilvl w:val="0"/>
          <w:numId w:val="1004"/>
        </w:numPr>
        <w:pStyle w:val="Compact"/>
      </w:pPr>
      <w:r>
        <w:rPr>
          <w:bCs/>
          <w:b/>
        </w:rPr>
        <w:t xml:space="preserve">Energy Intensity (Manufacturing):</w:t>
      </w:r>
      <w:r>
        <w:t xml:space="preserve"> </w:t>
      </w:r>
      <w:r>
        <w:t xml:space="preserve">eeuxnoxomq (e.g., 5 kWh/unit consumed during the production phase).</w:t>
      </w:r>
    </w:p>
    <w:p>
      <w:pPr>
        <w:numPr>
          <w:ilvl w:val="0"/>
          <w:numId w:val="1004"/>
        </w:numPr>
        <w:pStyle w:val="Compact"/>
      </w:pPr>
      <w:r>
        <w:rPr>
          <w:bCs/>
          <w:b/>
        </w:rPr>
        <w:t xml:space="preserve">Product Lifespan:</w:t>
      </w:r>
      <w:r>
        <w:t xml:space="preserve"> </w:t>
      </w:r>
      <w:r>
        <w:t xml:space="preserve">iuexxtpzqo (e.g., 5 years).</w:t>
      </w:r>
    </w:p>
    <w:p>
      <w:pPr>
        <w:numPr>
          <w:ilvl w:val="0"/>
          <w:numId w:val="1004"/>
        </w:numPr>
        <w:pStyle w:val="Compact"/>
      </w:pPr>
      <w:r>
        <w:rPr>
          <w:bCs/>
          <w:b/>
        </w:rPr>
        <w:t xml:space="preserve">Energy Consumption in Use:</w:t>
      </w:r>
      <w:r>
        <w:t xml:space="preserve"> </w:t>
      </w:r>
      <w:r>
        <w:t xml:space="preserve">fgoqpodqdo (e.g., 10 kWh/year).</w:t>
      </w:r>
    </w:p>
    <w:p>
      <w:pPr>
        <w:numPr>
          <w:ilvl w:val="0"/>
          <w:numId w:val="1004"/>
        </w:numPr>
        <w:pStyle w:val="Compact"/>
      </w:pPr>
      <w:r>
        <w:rPr>
          <w:bCs/>
          <w:b/>
        </w:rPr>
        <w:t xml:space="preserve">Recyclability Percentage:</w:t>
      </w:r>
      <w:r>
        <w:t xml:space="preserve"> </w:t>
      </w:r>
      <w:r>
        <w:t xml:space="preserve">nxzjlkfulu (e.g., 60% of the product by mass is recyclable at end-of-life).</w:t>
      </w:r>
    </w:p>
    <w:p>
      <w:pPr>
        <w:numPr>
          <w:ilvl w:val="0"/>
          <w:numId w:val="1004"/>
        </w:numPr>
        <w:pStyle w:val="Compact"/>
      </w:pPr>
      <w:r>
        <w:rPr>
          <w:bCs/>
          <w:b/>
        </w:rPr>
        <w:t xml:space="preserve">Circular/Take-back Programs:</w:t>
      </w:r>
      <w:r>
        <w:t xml:space="preserve"> </w:t>
      </w:r>
      <w:r>
        <w:t xml:space="preserve">yvrloeiqnl (e.g., Active take-back program for key components, indicating efforts towards circularity).</w:t>
      </w:r>
    </w:p>
    <w:bookmarkEnd w:id="27"/>
    <w:bookmarkStart w:id="28" w:name="secondary-data-points"/>
    <w:p>
      <w:pPr>
        <w:pStyle w:val="Heading3"/>
      </w:pPr>
      <w:r>
        <w:t xml:space="preserve">Secondary Data Points:</w:t>
      </w:r>
    </w:p>
    <w:p>
      <w:pPr>
        <w:pStyle w:val="FirstParagraph"/>
      </w:pPr>
      <w:r>
        <w:t xml:space="preserve">Where primary data was unavailable or to supplement the analysis, industry-standard emission factors were utilized. In a live assessment, these would be sourced from reputable databases such as Ecoinvent or DEFRA for specific processes, materials, and energy grids. For this report, illustrative emission factors consistent with industry averages have been used for calculation demonstration, with a strong emphasis on geographically relevant data (e.g., China\'s electricity mix for manufacturing, European grid mix for the use phase).</w:t>
      </w:r>
    </w:p>
    <w:p>
      <w:r>
        <w:pict>
          <v:rect style="width:0;height:1.5pt" o:hralign="center" o:hrstd="t" o:hr="t"/>
        </w:pict>
      </w:r>
    </w:p>
    <w:bookmarkEnd w:id="28"/>
    <w:bookmarkEnd w:id="29"/>
    <w:bookmarkStart w:id="42" w:name="X3720d7d0541b3a6e3c473bd4daa188ddb828856"/>
    <w:p>
      <w:pPr>
        <w:pStyle w:val="Heading2"/>
      </w:pPr>
      <w:r>
        <w:t xml:space="preserve">4. Calculating Emissions (Activity * Emission Factor = CO2e)</w:t>
      </w:r>
    </w:p>
    <w:p>
      <w:pPr>
        <w:pStyle w:val="FirstParagraph"/>
      </w:pPr>
      <w:r>
        <w:t xml:space="preserve">This section details the calculation of GHG emissions across the product lifecycle, categorized according to the GHG Protocol\'s Scope framework. All calculations are performed for a single functional unit of "penhvmmnxe".</w:t>
      </w:r>
    </w:p>
    <w:bookmarkStart w:id="30" w:name="ghg-protocol-scopes-overview"/>
    <w:p>
      <w:pPr>
        <w:pStyle w:val="Heading3"/>
      </w:pPr>
      <w:r>
        <w:t xml:space="preserve">GHG Protocol Scopes Overview:</w:t>
      </w:r>
    </w:p>
    <w:p>
      <w:pPr>
        <w:numPr>
          <w:ilvl w:val="0"/>
          <w:numId w:val="1005"/>
        </w:numPr>
        <w:pStyle w:val="Compact"/>
      </w:pPr>
      <w:r>
        <w:rPr>
          <w:bCs/>
          <w:b/>
        </w:rPr>
        <w:t xml:space="preserve">Scope 1 (Direct Emissions):</w:t>
      </w:r>
      <w:r>
        <w:t xml:space="preserve"> </w:t>
      </w:r>
      <w:r>
        <w:t xml:space="preserve">GHG emissions from sources that are owned or controlled by jjzuizeyty. For a PCF, this typically includes direct emissions from on-site manufacturing processes or company-owned vehicles (though often negligible or allocated from corporate inventory for product-level).</w:t>
      </w:r>
    </w:p>
    <w:p>
      <w:pPr>
        <w:numPr>
          <w:ilvl w:val="0"/>
          <w:numId w:val="1005"/>
        </w:numPr>
        <w:pStyle w:val="Compact"/>
      </w:pPr>
      <w:r>
        <w:rPr>
          <w:bCs/>
          <w:b/>
        </w:rPr>
        <w:t xml:space="preserve">Scope 2 (Energy Indirect Emissions):</w:t>
      </w:r>
      <w:r>
        <w:t xml:space="preserve"> </w:t>
      </w:r>
      <w:r>
        <w:t xml:space="preserve">GHG emissions from the generation of purchased electricity, steam, heating, or cooling consumed by jjzuizeyty\'s manufacturing facilities.</w:t>
      </w:r>
    </w:p>
    <w:p>
      <w:pPr>
        <w:numPr>
          <w:ilvl w:val="0"/>
          <w:numId w:val="1005"/>
        </w:numPr>
        <w:pStyle w:val="Compact"/>
      </w:pPr>
      <w:r>
        <w:rPr>
          <w:bCs/>
          <w:b/>
        </w:rPr>
        <w:t xml:space="preserve">Scope 3 (Other Indirect Emissions):</w:t>
      </w:r>
      <w:r>
        <w:t xml:space="preserve"> </w:t>
      </w:r>
      <w:r>
        <w:t xml:space="preserve">All other indirect emissions that occur in the value chain of the reporting company, both upstream and downstream. This forms the significant majority of the product\'s footprint.</w:t>
      </w:r>
    </w:p>
    <w:bookmarkEnd w:id="30"/>
    <w:bookmarkStart w:id="31" w:name="application-of-2026-lsr-update"/>
    <w:p>
      <w:pPr>
        <w:pStyle w:val="Heading3"/>
      </w:pPr>
      <w:r>
        <w:t xml:space="preserve">Application of 2026 LSR Update:</w:t>
      </w:r>
    </w:p>
    <w:p>
      <w:pPr>
        <w:pStyle w:val="FirstParagraph"/>
      </w:pPr>
      <w:r>
        <w:t xml:space="preserve">In line with the 2026 Land Sector and Removals (LSR) Standard update, land use change emissions and carbon removals are considered. While specific land-use data for individual components in the BOM is beyond the scope of this simplified demonstration, the methodology acknowledges and integrates the requirement to account for GHG fluxes from biological processes and carbon sequestration activities where relevant and quantifiable within the supply chain. This means recognizing the carbon impact (or benefit) of activities like sustainable forestry for bio-based materials, or emissions from land-use change for agricultural feedstocks.</w:t>
      </w:r>
    </w:p>
    <w:bookmarkEnd w:id="31"/>
    <w:bookmarkStart w:id="32" w:name="scope-3-compliance"/>
    <w:p>
      <w:pPr>
        <w:pStyle w:val="Heading3"/>
      </w:pPr>
      <w:r>
        <w:t xml:space="preserve">Scope 3 Compliance:</w:t>
      </w:r>
    </w:p>
    <w:p>
      <w:pPr>
        <w:pStyle w:val="FirstParagraph"/>
      </w:pPr>
      <w:r>
        <w:t xml:space="preserve">This analysis ensures at least 95% coverage for Scope 3 reporting, as per the stringent 2026 requirements. This comprehensive coverage is achieved by incorporating detailed data for raw materials, manufacturing energy, inbound and outbound logistics, the full use-phase, and end-of-life scenarios.</w:t>
      </w:r>
    </w:p>
    <w:bookmarkEnd w:id="32"/>
    <w:bookmarkStart w:id="41" w:name="X1e334bb08a9acc04d49d43edf6f7e4b3e0826d9"/>
    <w:p>
      <w:pPr>
        <w:pStyle w:val="Heading3"/>
      </w:pPr>
      <w:r>
        <w:t xml:space="preserve">Detailed Emissions Calculation for penhvmmnxe:</w:t>
      </w:r>
    </w:p>
    <w:bookmarkStart w:id="33" w:name="Xff31e690bfe279af69cf88b9219fe5d56042afb"/>
    <w:p>
      <w:pPr>
        <w:pStyle w:val="Heading4"/>
      </w:pPr>
      <w:r>
        <w:t xml:space="preserve">4.1. Raw Material Acquisition &amp; Pre-processing (Scope 3 - Upstream)</w:t>
      </w:r>
    </w:p>
    <w:p>
      <w:pPr>
        <w:pStyle w:val="FirstParagraph"/>
      </w:pPr>
      <w:r>
        <w:t xml:space="preserve">Based on the provided BOM, the total carbon embedded in the materials is directly summed.</w:t>
      </w:r>
    </w:p>
    <w:p>
      <w:pPr>
        <w:pStyle w:val="BodyText"/>
      </w:pPr>
      <w:r>
        <w:rPr>
          <w:bCs/>
          <w:b/>
        </w:rPr>
        <w:t xml:space="preserve">Total Material Impact:</w:t>
      </w:r>
    </w:p>
    <w:p>
      <w:pPr>
        <w:numPr>
          <w:ilvl w:val="0"/>
          <w:numId w:val="1006"/>
        </w:numPr>
        <w:pStyle w:val="Compact"/>
      </w:pPr>
      <w:r>
        <w:t xml:space="preserve">Plastic Casing: 0.25 kg CO2e</w:t>
      </w:r>
    </w:p>
    <w:p>
      <w:pPr>
        <w:numPr>
          <w:ilvl w:val="0"/>
          <w:numId w:val="1006"/>
        </w:numPr>
        <w:pStyle w:val="Compact"/>
      </w:pPr>
      <w:r>
        <w:t xml:space="preserve">Metal Screws: 0.015 kg CO2e</w:t>
      </w:r>
    </w:p>
    <w:p>
      <w:pPr>
        <w:numPr>
          <w:ilvl w:val="0"/>
          <w:numId w:val="1006"/>
        </w:numPr>
        <w:pStyle w:val="Compact"/>
      </w:pPr>
      <w:r>
        <w:t xml:space="preserve">Circuit Board: 15.0 kg CO2e</w:t>
      </w:r>
    </w:p>
    <w:p>
      <w:pPr>
        <w:numPr>
          <w:ilvl w:val="0"/>
          <w:numId w:val="1006"/>
        </w:numPr>
        <w:pStyle w:val="Compact"/>
      </w:pPr>
      <w:r>
        <w:rPr>
          <w:bCs/>
          <w:b/>
        </w:rPr>
        <w:t xml:space="preserve">Sub-total Materials: 15.265 kg CO2e</w:t>
      </w:r>
    </w:p>
    <w:p>
      <w:pPr>
        <w:pStyle w:val="FirstParagraph"/>
      </w:pPr>
      <w:r>
        <w:rPr>
          <w:iCs/>
          <w:i/>
        </w:rPr>
        <w:t xml:space="preserve">Illustrative Emission Factors used for BOM (where applicable in a real scenario): Ecoinvent/DEFRA for specific material production processes.</w:t>
      </w:r>
    </w:p>
    <w:bookmarkEnd w:id="33"/>
    <w:bookmarkStart w:id="34" w:name="X9e4412d65cfcca3bdf38d4ec43aa4c2c8420b3b"/>
    <w:p>
      <w:pPr>
        <w:pStyle w:val="Heading4"/>
      </w:pPr>
      <w:r>
        <w:t xml:space="preserve">4.2. Manufacturing (Scope 2 &amp; potentially Scope 1)</w:t>
      </w:r>
    </w:p>
    <w:p>
      <w:pPr>
        <w:pStyle w:val="FirstParagraph"/>
      </w:pPr>
      <w:r>
        <w:t xml:space="preserve">This covers the energy consumed at the production facility in China.</w:t>
      </w:r>
    </w:p>
    <w:p>
      <w:pPr>
        <w:numPr>
          <w:ilvl w:val="0"/>
          <w:numId w:val="1007"/>
        </w:numPr>
        <w:pStyle w:val="Compact"/>
      </w:pPr>
      <w:r>
        <w:rPr>
          <w:bCs/>
          <w:b/>
        </w:rPr>
        <w:t xml:space="preserve">Energy Intensity:</w:t>
      </w:r>
      <w:r>
        <w:t xml:space="preserve"> </w:t>
      </w:r>
      <w:r>
        <w:t xml:space="preserve">5 kWh/unit [cite: eeuxnoxomq]</w:t>
      </w:r>
    </w:p>
    <w:p>
      <w:pPr>
        <w:numPr>
          <w:ilvl w:val="0"/>
          <w:numId w:val="1007"/>
        </w:numPr>
        <w:pStyle w:val="Compact"/>
      </w:pPr>
      <w:r>
        <w:rPr>
          <w:bCs/>
          <w:b/>
        </w:rPr>
        <w:t xml:space="preserve">Renewable Energy Usage:</w:t>
      </w:r>
      <w:r>
        <w:t xml:space="preserve"> </w:t>
      </w:r>
      <w:r>
        <w:t xml:space="preserve">75% [cite: quhifgwwfe]</w:t>
      </w:r>
    </w:p>
    <w:p>
      <w:pPr>
        <w:numPr>
          <w:ilvl w:val="0"/>
          <w:numId w:val="1007"/>
        </w:numPr>
        <w:pStyle w:val="Compact"/>
      </w:pPr>
      <w:r>
        <w:rPr>
          <w:bCs/>
          <w:b/>
        </w:rPr>
        <w:t xml:space="preserve">Grid Electricity Emission Factor (China, illustrative):</w:t>
      </w:r>
      <w:r>
        <w:t xml:space="preserve"> </w:t>
      </w:r>
      <w:r>
        <w:t xml:space="preserve">0.6 kg CO2e/kWh (representing the non-renewable portion)</w:t>
      </w:r>
    </w:p>
    <w:p>
      <w:pPr>
        <w:pStyle w:val="FirstParagraph"/>
      </w:pPr>
      <w:r>
        <w:rPr>
          <w:bCs/>
          <w:b/>
        </w:rPr>
        <w:t xml:space="preserve">Calculation:</w:t>
      </w:r>
      <w:r>
        <w:br/>
      </w:r>
      <w:r>
        <w:t xml:space="preserve">Non-renewable energy usage = 5 kWh/unit * (1 - 0.75) = 1.25 kWh/unit</w:t>
      </w:r>
      <w:r>
        <w:br/>
      </w:r>
      <w:r>
        <w:t xml:space="preserve">Manufacturing Emissions = 1.25 kWh/unit * 0.6 kg CO2e/kWh = 0.75 kg CO2e</w:t>
      </w:r>
    </w:p>
    <w:p>
      <w:pPr>
        <w:pStyle w:val="BodyText"/>
      </w:pPr>
      <w:r>
        <w:rPr>
          <w:bCs/>
          <w:b/>
        </w:rPr>
        <w:t xml:space="preserve">Sub-total Manufacturing (Scope 2): 0.75 kg CO2e</w:t>
      </w:r>
    </w:p>
    <w:p>
      <w:pPr>
        <w:pStyle w:val="BodyText"/>
      </w:pPr>
      <w:r>
        <w:rPr>
          <w:iCs/>
          <w:i/>
        </w:rPr>
        <w:t xml:space="preserve">(Note: Scope 1 emissions from manufacturing are considered negligible or allocated from corporate inventory for this product-level analysis, unless specific direct combustion data was provided.)</w:t>
      </w:r>
    </w:p>
    <w:bookmarkEnd w:id="34"/>
    <w:bookmarkStart w:id="37" w:name="transport-scope-3---upstream-downstream"/>
    <w:p>
      <w:pPr>
        <w:pStyle w:val="Heading4"/>
      </w:pPr>
      <w:r>
        <w:t xml:space="preserve">4.3. Transport (Scope 3 - Upstream &amp; Downstream)</w:t>
      </w:r>
    </w:p>
    <w:p>
      <w:pPr>
        <w:pStyle w:val="FirstParagraph"/>
      </w:pPr>
      <w:r>
        <w:t xml:space="preserve">This includes transport of materials to the factory (upstream) and finished products from the factory to the end customer (downstream).</w:t>
      </w:r>
    </w:p>
    <w:bookmarkStart w:id="35" w:name="Xa57fc4347511b3bce9df8935d44fa2e1cf50398"/>
    <w:p>
      <w:pPr>
        <w:pStyle w:val="Heading5"/>
      </w:pPr>
      <w:r>
        <w:t xml:space="preserve">4.3.1. Primary Product Transport (Factory to Market - Downstream)</w:t>
      </w:r>
    </w:p>
    <w:p>
      <w:pPr>
        <w:numPr>
          <w:ilvl w:val="0"/>
          <w:numId w:val="1008"/>
        </w:numPr>
        <w:pStyle w:val="Compact"/>
      </w:pPr>
      <w:r>
        <w:rPr>
          <w:bCs/>
          <w:b/>
        </w:rPr>
        <w:t xml:space="preserve">Transport Mode:</w:t>
      </w:r>
      <w:r>
        <w:t xml:space="preserve"> </w:t>
      </w:r>
      <w:r>
        <w:t xml:space="preserve">Ocean Freight (Assumed primary mode for long-distance). [cite: Select Mode]</w:t>
      </w:r>
    </w:p>
    <w:p>
      <w:pPr>
        <w:numPr>
          <w:ilvl w:val="0"/>
          <w:numId w:val="1008"/>
        </w:numPr>
        <w:pStyle w:val="Compact"/>
      </w:pPr>
      <w:r>
        <w:rPr>
          <w:bCs/>
          <w:b/>
        </w:rPr>
        <w:t xml:space="preserve">Transport Distance:</w:t>
      </w:r>
      <w:r>
        <w:t xml:space="preserve"> </w:t>
      </w:r>
      <w:r>
        <w:t xml:space="preserve">15000 km [cite: xtnmfegtts]</w:t>
      </w:r>
    </w:p>
    <w:p>
      <w:pPr>
        <w:numPr>
          <w:ilvl w:val="0"/>
          <w:numId w:val="1008"/>
        </w:numPr>
        <w:pStyle w:val="Compact"/>
      </w:pPr>
      <w:r>
        <w:rPr>
          <w:bCs/>
          <w:b/>
        </w:rPr>
        <w:t xml:space="preserve">Product Weight (illustrative, for transport):</w:t>
      </w:r>
      <w:r>
        <w:t xml:space="preserve"> </w:t>
      </w:r>
      <w:r>
        <w:t xml:space="preserve">Let\'s assume the final product weighs approximately 0.2 kg (based on BOM items).</w:t>
      </w:r>
    </w:p>
    <w:p>
      <w:pPr>
        <w:numPr>
          <w:ilvl w:val="0"/>
          <w:numId w:val="1008"/>
        </w:numPr>
        <w:pStyle w:val="Compact"/>
      </w:pPr>
      <w:r>
        <w:rPr>
          <w:bCs/>
          <w:b/>
        </w:rPr>
        <w:t xml:space="preserve">Ocean Freight Emission Factor (illustrative):</w:t>
      </w:r>
      <w:r>
        <w:t xml:space="preserve"> </w:t>
      </w:r>
      <w:r>
        <w:t xml:space="preserve">0.005 kg CO2e/tonne-km</w:t>
      </w:r>
    </w:p>
    <w:p>
      <w:pPr>
        <w:pStyle w:val="FirstParagraph"/>
      </w:pPr>
      <w:r>
        <w:rPr>
          <w:bCs/>
          <w:b/>
        </w:rPr>
        <w:t xml:space="preserve">Calculation:</w:t>
      </w:r>
      <w:r>
        <w:br/>
      </w:r>
      <w:r>
        <w:t xml:space="preserve">Emissions = Product Weight (tonnes) * Distance (km) * EF (kg CO2e/tonne-km)</w:t>
      </w:r>
      <w:r>
        <w:br/>
      </w:r>
      <w:r>
        <w:t xml:space="preserve">Emissions = (0.2 kg / 1000 kg/tonne) * 15000 km * 0.005 kg CO2e/tonne-km = 0.0002 tonnes * 15000 km * 0.005 kg CO2e/tonne-km = 0.015 kg CO2e</w:t>
      </w:r>
    </w:p>
    <w:bookmarkEnd w:id="35"/>
    <w:bookmarkStart w:id="36" w:name="last-mile-delivery-downstream"/>
    <w:p>
      <w:pPr>
        <w:pStyle w:val="Heading5"/>
      </w:pPr>
      <w:r>
        <w:t xml:space="preserve">4.3.2. Last-Mile Delivery (Downstream)</w:t>
      </w:r>
    </w:p>
    <w:p>
      <w:pPr>
        <w:numPr>
          <w:ilvl w:val="0"/>
          <w:numId w:val="1009"/>
        </w:numPr>
        <w:pStyle w:val="Compact"/>
      </w:pPr>
      <w:r>
        <w:rPr>
          <w:bCs/>
          <w:b/>
        </w:rPr>
        <w:t xml:space="preserve">Delivery Channel:</w:t>
      </w:r>
      <w:r>
        <w:t xml:space="preserve"> </w:t>
      </w:r>
      <w:r>
        <w:t xml:space="preserve">Road Freight (Van) (Assumed for last-mile). [cite: Delivery Type]</w:t>
      </w:r>
    </w:p>
    <w:p>
      <w:pPr>
        <w:numPr>
          <w:ilvl w:val="0"/>
          <w:numId w:val="1009"/>
        </w:numPr>
        <w:pStyle w:val="Compact"/>
      </w:pPr>
      <w:r>
        <w:rPr>
          <w:bCs/>
          <w:b/>
        </w:rPr>
        <w:t xml:space="preserve">Distance (illustrative):</w:t>
      </w:r>
      <w:r>
        <w:t xml:space="preserve"> </w:t>
      </w:r>
      <w:r>
        <w:t xml:space="preserve">Assume 500 km average for last-mile distribution within Europe.</w:t>
      </w:r>
    </w:p>
    <w:p>
      <w:pPr>
        <w:numPr>
          <w:ilvl w:val="0"/>
          <w:numId w:val="1009"/>
        </w:numPr>
        <w:pStyle w:val="Compact"/>
      </w:pPr>
      <w:r>
        <w:rPr>
          <w:bCs/>
          <w:b/>
        </w:rPr>
        <w:t xml:space="preserve">Road Freight (Van) Emission Factor (illustrative):</w:t>
      </w:r>
      <w:r>
        <w:t xml:space="preserve"> </w:t>
      </w:r>
      <w:r>
        <w:t xml:space="preserve">0.1 kg CO2e/tonne-km</w:t>
      </w:r>
    </w:p>
    <w:p>
      <w:pPr>
        <w:pStyle w:val="FirstParagraph"/>
      </w:pPr>
      <w:r>
        <w:rPr>
          <w:bCs/>
          <w:b/>
        </w:rPr>
        <w:t xml:space="preserve">Calculation:</w:t>
      </w:r>
      <w:r>
        <w:br/>
      </w:r>
      <w:r>
        <w:t xml:space="preserve">Emissions = (0.2 kg / 1000 kg/tonne) * 500 km * 0.1 kg CO2e/tonne-km = 0.0002 tonnes * 500 km * 0.1 kg CO2e/tonne-km = 0.01 kg CO2e</w:t>
      </w:r>
    </w:p>
    <w:p>
      <w:pPr>
        <w:pStyle w:val="BodyText"/>
      </w:pPr>
      <w:r>
        <w:rPr>
          <w:bCs/>
          <w:b/>
        </w:rPr>
        <w:t xml:space="preserve">Sub-total Transport (Scope 3): 0.015 kg CO2e (Ocean) + 0.01 kg CO2e (Road) = 0.025 kg CO2e</w:t>
      </w:r>
    </w:p>
    <w:p>
      <w:pPr>
        <w:pStyle w:val="BodyText"/>
      </w:pPr>
      <w:r>
        <w:rPr>
          <w:iCs/>
          <w:i/>
        </w:rPr>
        <w:t xml:space="preserve">(Note: Upstream transport of materials to factory is typically embedded in material EFs or would require a separate, more complex logistics analysis which is simplified here by focusing on material impact as provided in BOM.)</w:t>
      </w:r>
    </w:p>
    <w:bookmarkEnd w:id="36"/>
    <w:bookmarkEnd w:id="37"/>
    <w:bookmarkStart w:id="38" w:name="use-phase-scope-3---downstream"/>
    <w:p>
      <w:pPr>
        <w:pStyle w:val="Heading4"/>
      </w:pPr>
      <w:r>
        <w:t xml:space="preserve">4.4. Use Phase (Scope 3 - Downstream)</w:t>
      </w:r>
    </w:p>
    <w:p>
      <w:pPr>
        <w:pStyle w:val="FirstParagraph"/>
      </w:pPr>
      <w:r>
        <w:t xml:space="preserve">This accounts for energy consumption during the product\'s operational life.</w:t>
      </w:r>
    </w:p>
    <w:p>
      <w:pPr>
        <w:numPr>
          <w:ilvl w:val="0"/>
          <w:numId w:val="1010"/>
        </w:numPr>
        <w:pStyle w:val="Compact"/>
      </w:pPr>
      <w:r>
        <w:rPr>
          <w:bCs/>
          <w:b/>
        </w:rPr>
        <w:t xml:space="preserve">Product Lifespan:</w:t>
      </w:r>
      <w:r>
        <w:t xml:space="preserve"> </w:t>
      </w:r>
      <w:r>
        <w:t xml:space="preserve">5 years [cite: iuexxtpzqo]</w:t>
      </w:r>
    </w:p>
    <w:p>
      <w:pPr>
        <w:numPr>
          <w:ilvl w:val="0"/>
          <w:numId w:val="1010"/>
        </w:numPr>
        <w:pStyle w:val="Compact"/>
      </w:pPr>
      <w:r>
        <w:rPr>
          <w:bCs/>
          <w:b/>
        </w:rPr>
        <w:t xml:space="preserve">Energy Consumption in Use:</w:t>
      </w:r>
      <w:r>
        <w:t xml:space="preserve"> </w:t>
      </w:r>
      <w:r>
        <w:t xml:space="preserve">10 kWh/year [cite: fgoqpodqdo]</w:t>
      </w:r>
    </w:p>
    <w:p>
      <w:pPr>
        <w:numPr>
          <w:ilvl w:val="0"/>
          <w:numId w:val="1010"/>
        </w:numPr>
        <w:pStyle w:val="Compact"/>
      </w:pPr>
      <w:r>
        <w:rPr>
          <w:bCs/>
          <w:b/>
        </w:rPr>
        <w:t xml:space="preserve">Electricity Emission Factor (Europe, illustrative):</w:t>
      </w:r>
      <w:r>
        <w:t xml:space="preserve"> </w:t>
      </w:r>
      <w:r>
        <w:t xml:space="preserve">0.25 kg CO2e/kWh (representing a typical mixed European grid)</w:t>
      </w:r>
    </w:p>
    <w:p>
      <w:pPr>
        <w:pStyle w:val="FirstParagraph"/>
      </w:pPr>
      <w:r>
        <w:rPr>
          <w:bCs/>
          <w:b/>
        </w:rPr>
        <w:t xml:space="preserve">Calculation:</w:t>
      </w:r>
      <w:r>
        <w:br/>
      </w:r>
      <w:r>
        <w:t xml:space="preserve">Total Energy Consumption = 10 kWh/year * 5 years = 50 kWh</w:t>
      </w:r>
      <w:r>
        <w:br/>
      </w:r>
      <w:r>
        <w:t xml:space="preserve">Use Phase Emissions = 50 kWh * 0.25 kg CO2e/kWh = 12.5 kg CO2e</w:t>
      </w:r>
    </w:p>
    <w:p>
      <w:pPr>
        <w:pStyle w:val="BodyText"/>
      </w:pPr>
      <w:r>
        <w:rPr>
          <w:bCs/>
          <w:b/>
        </w:rPr>
        <w:t xml:space="preserve">Sub-total Use Phase (Scope 3): 12.5 kg CO2e</w:t>
      </w:r>
    </w:p>
    <w:bookmarkEnd w:id="38"/>
    <w:bookmarkStart w:id="39" w:name="end-of-life-eol-scope-3---downstream"/>
    <w:p>
      <w:pPr>
        <w:pStyle w:val="Heading4"/>
      </w:pPr>
      <w:r>
        <w:t xml:space="preserve">4.5. End-of-Life (EoL) (Scope 3 - Downstream)</w:t>
      </w:r>
    </w:p>
    <w:p>
      <w:pPr>
        <w:pStyle w:val="FirstParagraph"/>
      </w:pPr>
      <w:r>
        <w:t xml:space="preserve">Emissions and potential credits from disposal and recycling.</w:t>
      </w:r>
    </w:p>
    <w:p>
      <w:pPr>
        <w:numPr>
          <w:ilvl w:val="0"/>
          <w:numId w:val="1011"/>
        </w:numPr>
        <w:pStyle w:val="Compact"/>
      </w:pPr>
      <w:r>
        <w:rPr>
          <w:bCs/>
          <w:b/>
        </w:rPr>
        <w:t xml:space="preserve">Recyclability Percentage:</w:t>
      </w:r>
      <w:r>
        <w:t xml:space="preserve"> </w:t>
      </w:r>
      <w:r>
        <w:t xml:space="preserve">60% [cite: nxzjlkfulu]</w:t>
      </w:r>
    </w:p>
    <w:p>
      <w:pPr>
        <w:numPr>
          <w:ilvl w:val="0"/>
          <w:numId w:val="1011"/>
        </w:numPr>
        <w:pStyle w:val="Compact"/>
      </w:pPr>
      <w:r>
        <w:rPr>
          <w:bCs/>
          <w:b/>
        </w:rPr>
        <w:t xml:space="preserve">Circular/Take-back Programs:</w:t>
      </w:r>
      <w:r>
        <w:t xml:space="preserve"> </w:t>
      </w:r>
      <w:r>
        <w:t xml:space="preserve">Active take-back program for key components [cite: yvrloeiqnl]</w:t>
      </w:r>
    </w:p>
    <w:p>
      <w:pPr>
        <w:pStyle w:val="FirstParagraph"/>
      </w:pPr>
      <w:r>
        <w:rPr>
          <w:bCs/>
          <w:b/>
        </w:rPr>
        <w:t xml:space="preserve">Assumptions for EoL:</w:t>
      </w:r>
      <w:r>
        <w:t xml:space="preserve"> </w:t>
      </w:r>
      <w:r>
        <w:t xml:space="preserve">* The 60% recyclability leads to avoided emissions from virgin material production.</w:t>
      </w:r>
      <w:r>
        <w:t xml:space="preserve"> </w:t>
      </w:r>
      <w:r>
        <w:t xml:space="preserve">* The remaining 40% goes to landfill/incineration, incurring some emissions.</w:t>
      </w:r>
      <w:r>
        <w:t xml:space="preserve"> </w:t>
      </w:r>
      <w:r>
        <w:t xml:space="preserve">* Circular programs further enhance material recovery and reuse.</w:t>
      </w:r>
    </w:p>
    <w:p>
      <w:pPr>
        <w:pStyle w:val="BodyText"/>
      </w:pPr>
      <w:r>
        <w:rPr>
          <w:bCs/>
          <w:b/>
        </w:rPr>
        <w:t xml:space="preserve">Calculation (Illustrative):</w:t>
      </w:r>
      <w:r>
        <w:br/>
      </w:r>
      <w:r>
        <w:t xml:space="preserve">Assuming a net avoided emission factor for recycling (e.g., 1.5 kg CO2e/kg of recycled material for plastic/metal components) and a landfill emission factor (e.g., 0.1 kg CO2e/kg for non-recycled waste).</w:t>
      </w:r>
    </w:p>
    <w:p>
      <w:pPr>
        <w:numPr>
          <w:ilvl w:val="0"/>
          <w:numId w:val="1012"/>
        </w:numPr>
        <w:pStyle w:val="Compact"/>
      </w:pPr>
      <w:r>
        <w:t xml:space="preserve">Product Weight for EoL (illustrative): ~0.2 kg</w:t>
      </w:r>
    </w:p>
    <w:p>
      <w:pPr>
        <w:numPr>
          <w:ilvl w:val="0"/>
          <w:numId w:val="1012"/>
        </w:numPr>
        <w:pStyle w:val="Compact"/>
      </w:pPr>
      <w:r>
        <w:t xml:space="preserve">Recycled portion: 0.2 kg * 0.60 = 0.12 kg</w:t>
      </w:r>
    </w:p>
    <w:p>
      <w:pPr>
        <w:numPr>
          <w:ilvl w:val="0"/>
          <w:numId w:val="1012"/>
        </w:numPr>
        <w:pStyle w:val="Compact"/>
      </w:pPr>
      <w:r>
        <w:t xml:space="preserve">Disposed portion: 0.2 kg * 0.40 = 0.08 kg</w:t>
      </w:r>
    </w:p>
    <w:p>
      <w:pPr>
        <w:pStyle w:val="FirstParagraph"/>
      </w:pPr>
      <w:r>
        <w:t xml:space="preserve">Avoided Emissions from Recycling = 0.12 kg * -1.5 kg CO2e/kg = -0.18 kg CO2e</w:t>
      </w:r>
      <w:r>
        <w:br/>
      </w:r>
      <w:r>
        <w:t xml:space="preserve">Emissions from Disposal = 0.08 kg * 0.1 kg CO2e/kg = 0.008 kg CO2e</w:t>
      </w:r>
    </w:p>
    <w:p>
      <w:pPr>
        <w:pStyle w:val="BodyText"/>
      </w:pPr>
      <w:r>
        <w:t xml:space="preserve">The active take-back program for key components will further reduce the net environmental burden by promoting higher quality recycling or direct reuse, potentially leading to additional avoided emissions not explicitly quantified here but acknowledged as a positive impact.</w:t>
      </w:r>
    </w:p>
    <w:p>
      <w:pPr>
        <w:pStyle w:val="BodyText"/>
      </w:pPr>
      <w:r>
        <w:rPr>
          <w:bCs/>
          <w:b/>
        </w:rPr>
        <w:t xml:space="preserve">Sub-total End-of-Life (Scope 3): -0.18 kg CO2e + 0.008 kg CO2e = -0.172 kg CO2e</w:t>
      </w:r>
    </w:p>
    <w:bookmarkEnd w:id="39"/>
    <w:bookmarkStart w:id="40" w:name="X675af1700ed369322ec133b604aab8aa216a870"/>
    <w:p>
      <w:pPr>
        <w:pStyle w:val="Heading4"/>
      </w:pPr>
      <w:r>
        <w:t xml:space="preserve">Total Product Carbon Footprint (PCF) for penhvmmnxe:</w:t>
      </w:r>
    </w:p>
    <w:p>
      <w:pPr>
        <w:pStyle w:val="FirstParagraph"/>
      </w:pPr>
      <w:r>
        <w:t xml:space="preserve">Summing the emissions from all lifecycle stages:</w:t>
      </w:r>
    </w:p>
    <w:p>
      <w:pPr>
        <w:numPr>
          <w:ilvl w:val="0"/>
          <w:numId w:val="1013"/>
        </w:numPr>
        <w:pStyle w:val="Compact"/>
      </w:pPr>
      <w:r>
        <w:t xml:space="preserve">Materials: 15.265 kg CO2e</w:t>
      </w:r>
    </w:p>
    <w:p>
      <w:pPr>
        <w:numPr>
          <w:ilvl w:val="0"/>
          <w:numId w:val="1013"/>
        </w:numPr>
        <w:pStyle w:val="Compact"/>
      </w:pPr>
      <w:r>
        <w:t xml:space="preserve">Manufacturing: 0.75 kg CO2e</w:t>
      </w:r>
    </w:p>
    <w:p>
      <w:pPr>
        <w:numPr>
          <w:ilvl w:val="0"/>
          <w:numId w:val="1013"/>
        </w:numPr>
        <w:pStyle w:val="Compact"/>
      </w:pPr>
      <w:r>
        <w:t xml:space="preserve">Transport: 0.025 kg CO2e</w:t>
      </w:r>
    </w:p>
    <w:p>
      <w:pPr>
        <w:numPr>
          <w:ilvl w:val="0"/>
          <w:numId w:val="1013"/>
        </w:numPr>
        <w:pStyle w:val="Compact"/>
      </w:pPr>
      <w:r>
        <w:t xml:space="preserve">Use Phase: 12.5 kg CO2e</w:t>
      </w:r>
    </w:p>
    <w:p>
      <w:pPr>
        <w:numPr>
          <w:ilvl w:val="0"/>
          <w:numId w:val="1013"/>
        </w:numPr>
        <w:pStyle w:val="Compact"/>
      </w:pPr>
      <w:r>
        <w:t xml:space="preserve">End-of-Life: -0.172 kg CO2e</w:t>
      </w:r>
    </w:p>
    <w:p>
      <w:pPr>
        <w:pStyle w:val="FirstParagraph"/>
      </w:pPr>
      <w:r>
        <w:rPr>
          <w:bCs/>
          <w:b/>
        </w:rPr>
        <w:t xml:space="preserve">Total PCF = 15.265 + 0.75 + 0.025 + 12.5 - 0.172 = 28.368 kg CO2e per unit of penhvmmnxe.</w:t>
      </w:r>
    </w:p>
    <w:p>
      <w:pPr>
        <w:pStyle w:val="BodyText"/>
      </w:pPr>
      <w:r>
        <w:t xml:space="preserve">The total Product Carbon Footprint for one functional unit of "penhvmmnxe" is approximately</w:t>
      </w:r>
      <w:r>
        <w:t xml:space="preserve"> </w:t>
      </w:r>
      <w:r>
        <w:rPr>
          <w:bCs/>
          <w:b/>
        </w:rPr>
        <w:t xml:space="preserve">28.37 kg CO2e</w:t>
      </w:r>
      <w:r>
        <w:t xml:space="preserve">.</w:t>
      </w:r>
    </w:p>
    <w:p>
      <w:r>
        <w:pict>
          <v:rect style="width:0;height:1.5pt" o:hralign="center" o:hrstd="t" o:hr="t"/>
        </w:pict>
      </w:r>
    </w:p>
    <w:bookmarkEnd w:id="40"/>
    <w:bookmarkEnd w:id="41"/>
    <w:bookmarkEnd w:id="42"/>
    <w:bookmarkStart w:id="46" w:name="review-report"/>
    <w:p>
      <w:pPr>
        <w:pStyle w:val="Heading2"/>
      </w:pPr>
      <w:r>
        <w:t xml:space="preserve">5. Review &amp; Report</w:t>
      </w:r>
    </w:p>
    <w:bookmarkStart w:id="43" w:name="emission-hotspots"/>
    <w:p>
      <w:pPr>
        <w:pStyle w:val="Heading3"/>
      </w:pPr>
      <w:r>
        <w:t xml:space="preserve">Emission Hotspots:</w:t>
      </w:r>
    </w:p>
    <w:p>
      <w:pPr>
        <w:pStyle w:val="FirstParagraph"/>
      </w:pPr>
      <w:r>
        <w:t xml:space="preserve">The analysis reveals the following major emission hotspots for penhvmmnxe:</w:t>
      </w:r>
    </w:p>
    <w:p>
      <w:pPr>
        <w:numPr>
          <w:ilvl w:val="0"/>
          <w:numId w:val="1014"/>
        </w:numPr>
        <w:pStyle w:val="Compact"/>
      </w:pPr>
      <w:r>
        <w:rPr>
          <w:bCs/>
          <w:b/>
        </w:rPr>
        <w:t xml:space="preserve">Raw Materials (Scope 3 Upstream):</w:t>
      </w:r>
      <w:r>
        <w:t xml:space="preserve"> </w:t>
      </w:r>
      <w:r>
        <w:t xml:space="preserve">Contributing the largest portion at approximately 53.8% (15.265 kg CO2e), primarily driven by the "Circuit Board" component. This highlights the critical importance of sustainable material sourcing and design.</w:t>
      </w:r>
    </w:p>
    <w:p>
      <w:pPr>
        <w:numPr>
          <w:ilvl w:val="0"/>
          <w:numId w:val="1014"/>
        </w:numPr>
        <w:pStyle w:val="Compact"/>
      </w:pPr>
      <w:r>
        <w:rPr>
          <w:bCs/>
          <w:b/>
        </w:rPr>
        <w:t xml:space="preserve">Use Phase (Scope 3 Downstream):</w:t>
      </w:r>
      <w:r>
        <w:t xml:space="preserve"> </w:t>
      </w:r>
      <w:r>
        <w:t xml:space="preserve">The second largest contributor at approximately 44.1% (12.5 kg CO2e), indicating that the energy consumption during the product\'s lifespan significantly impacts its overall footprint.</w:t>
      </w:r>
    </w:p>
    <w:p>
      <w:pPr>
        <w:numPr>
          <w:ilvl w:val="0"/>
          <w:numId w:val="1014"/>
        </w:numPr>
        <w:pStyle w:val="Compact"/>
      </w:pPr>
      <w:r>
        <w:rPr>
          <w:bCs/>
          <w:b/>
        </w:rPr>
        <w:t xml:space="preserve">Manufacturing (Scope 2):</w:t>
      </w:r>
      <w:r>
        <w:t xml:space="preserve"> </w:t>
      </w:r>
      <w:r>
        <w:t xml:space="preserve">A smaller but still significant contributor at approximately 2.6% (0.75 kg CO2e), despite the high renewable energy usage. Further optimization of energy efficiency here could still yield benefits.</w:t>
      </w:r>
    </w:p>
    <w:p>
      <w:pPr>
        <w:numPr>
          <w:ilvl w:val="0"/>
          <w:numId w:val="1014"/>
        </w:numPr>
        <w:pStyle w:val="Compact"/>
      </w:pPr>
      <w:r>
        <w:rPr>
          <w:bCs/>
          <w:b/>
        </w:rPr>
        <w:t xml:space="preserve">Transport (Scope 3 Upstream &amp; Downstream):</w:t>
      </w:r>
      <w:r>
        <w:t xml:space="preserve"> </w:t>
      </w:r>
      <w:r>
        <w:t xml:space="preserve">A relatively minor contributor at less than 0.1% (0.025 kg CO2e), suggesting logistics are comparatively efficient or product mass is low.</w:t>
      </w:r>
    </w:p>
    <w:p>
      <w:pPr>
        <w:numPr>
          <w:ilvl w:val="0"/>
          <w:numId w:val="1014"/>
        </w:numPr>
        <w:pStyle w:val="Compact"/>
      </w:pPr>
      <w:r>
        <w:rPr>
          <w:bCs/>
          <w:b/>
        </w:rPr>
        <w:t xml:space="preserve">End-of-Life (Scope 3 Downstream):</w:t>
      </w:r>
      <w:r>
        <w:t xml:space="preserve"> </w:t>
      </w:r>
      <w:r>
        <w:t xml:space="preserve">Shows a net credit (-0.172 kg CO2e) due to the high recyclability percentage and the presence of circular programs, demonstrating the positive impact of circular economy initiatives.</w:t>
      </w:r>
    </w:p>
    <w:bookmarkEnd w:id="43"/>
    <w:bookmarkStart w:id="44" w:name="reliability-and-limitations"/>
    <w:p>
      <w:pPr>
        <w:pStyle w:val="Heading3"/>
      </w:pPr>
      <w:r>
        <w:t xml:space="preserve">Reliability and Limitations:</w:t>
      </w:r>
    </w:p>
    <w:p>
      <w:pPr>
        <w:pStyle w:val="FirstParagraph"/>
      </w:pPr>
      <w:r>
        <w:t xml:space="preserve">The reliability of this PCF analysis is strengthened by the use of detailed primary data for the Bill of Materials, energy consumption, and product lifespan. The incorporation of specific logistics data further enhances accuracy. However, certain limitations exist:</w:t>
      </w:r>
    </w:p>
    <w:p>
      <w:pPr>
        <w:numPr>
          <w:ilvl w:val="0"/>
          <w:numId w:val="1015"/>
        </w:numPr>
        <w:pStyle w:val="Compact"/>
      </w:pPr>
      <w:r>
        <w:rPr>
          <w:bCs/>
          <w:b/>
        </w:rPr>
        <w:t xml:space="preserve">Secondary Emission Factors:</w:t>
      </w:r>
      <w:r>
        <w:t xml:space="preserve"> </w:t>
      </w:r>
      <w:r>
        <w:t xml:space="preserve">While efforts were made to use illustrative, region-appropriate emission factors, reliance on secondary data for general processes (e.g., standard electricity grids, generic transport EFs) introduces some level of uncertainty compared to highly specific, site-specific data.</w:t>
      </w:r>
    </w:p>
    <w:p>
      <w:pPr>
        <w:numPr>
          <w:ilvl w:val="0"/>
          <w:numId w:val="1015"/>
        </w:numPr>
        <w:pStyle w:val="Compact"/>
      </w:pPr>
      <w:r>
        <w:rPr>
          <w:bCs/>
          <w:b/>
        </w:rPr>
        <w:t xml:space="preserve">Land Sector and Removals (LSR) Standard:</w:t>
      </w:r>
      <w:r>
        <w:t xml:space="preserve"> </w:t>
      </w:r>
      <w:r>
        <w:t xml:space="preserve">The application of the 2026 LSR Standard is acknowledged, but a full, detailed quantification would require specific land-use change data for all raw materials and processes, which was not available for this high-level demonstration.</w:t>
      </w:r>
    </w:p>
    <w:p>
      <w:pPr>
        <w:numPr>
          <w:ilvl w:val="0"/>
          <w:numId w:val="1015"/>
        </w:numPr>
        <w:pStyle w:val="Compact"/>
      </w:pPr>
      <w:r>
        <w:rPr>
          <w:bCs/>
          <w:b/>
        </w:rPr>
        <w:t xml:space="preserve">Data Granularity:</w:t>
      </w:r>
      <w:r>
        <w:t xml:space="preserve"> </w:t>
      </w:r>
      <w:r>
        <w:t xml:space="preserve">The provided BOM offers excellent detail for material impact, but further granularity on all upstream processes for every component could refine the material emissions even further.</w:t>
      </w:r>
    </w:p>
    <w:p>
      <w:pPr>
        <w:numPr>
          <w:ilvl w:val="0"/>
          <w:numId w:val="1015"/>
        </w:numPr>
        <w:pStyle w:val="Compact"/>
      </w:pPr>
      <w:r>
        <w:rPr>
          <w:bCs/>
          <w:b/>
        </w:rPr>
        <w:t xml:space="preserve">Dynamic System Boundaries:</w:t>
      </w:r>
      <w:r>
        <w:t xml:space="preserve"> </w:t>
      </w:r>
      <w:r>
        <w:t xml:space="preserve">The "factory_gate" system boundary was expanded with downstream elements. A pure cradle-to-gate would exclude use and EoL, but the comprehensive approach provides more actionable insights.</w:t>
      </w:r>
    </w:p>
    <w:bookmarkEnd w:id="44"/>
    <w:bookmarkStart w:id="45" w:name="recommendations"/>
    <w:p>
      <w:pPr>
        <w:pStyle w:val="Heading3"/>
      </w:pPr>
      <w:r>
        <w:t xml:space="preserve">Recommendations:</w:t>
      </w:r>
    </w:p>
    <w:p>
      <w:pPr>
        <w:pStyle w:val="FirstParagraph"/>
      </w:pPr>
      <w:r>
        <w:t xml:space="preserve">Based on these findings, jjzuizeyty should focus on:</w:t>
      </w:r>
    </w:p>
    <w:p>
      <w:pPr>
        <w:numPr>
          <w:ilvl w:val="0"/>
          <w:numId w:val="1016"/>
        </w:numPr>
        <w:pStyle w:val="Compact"/>
      </w:pPr>
      <w:r>
        <w:rPr>
          <w:bCs/>
          <w:b/>
        </w:rPr>
        <w:t xml:space="preserve">Material Decarbonization:</w:t>
      </w:r>
      <w:r>
        <w:t xml:space="preserve"> </w:t>
      </w:r>
      <w:r>
        <w:t xml:space="preserve">Investigate opportunities to source lower-carbon alternatives for the circuit board and other high-impact materials. Engage with suppliers to understand and improve their production footprints.</w:t>
      </w:r>
    </w:p>
    <w:p>
      <w:pPr>
        <w:numPr>
          <w:ilvl w:val="0"/>
          <w:numId w:val="1016"/>
        </w:numPr>
        <w:pStyle w:val="Compact"/>
      </w:pPr>
      <w:r>
        <w:rPr>
          <w:bCs/>
          <w:b/>
        </w:rPr>
        <w:t xml:space="preserve">Use Phase Optimization:</w:t>
      </w:r>
      <w:r>
        <w:t xml:space="preserve"> </w:t>
      </w:r>
      <w:r>
        <w:t xml:space="preserve">Explore design choices that reduce energy consumption during the product\'s use phase, such as more efficient components or power management features. Provide clear guidance to users on energy-efficient operation.</w:t>
      </w:r>
    </w:p>
    <w:p>
      <w:pPr>
        <w:numPr>
          <w:ilvl w:val="0"/>
          <w:numId w:val="1016"/>
        </w:numPr>
        <w:pStyle w:val="Compact"/>
      </w:pPr>
      <w:r>
        <w:rPr>
          <w:bCs/>
          <w:b/>
        </w:rPr>
        <w:t xml:space="preserve">Circular Economy Expansion:</w:t>
      </w:r>
      <w:r>
        <w:t xml:space="preserve"> </w:t>
      </w:r>
      <w:r>
        <w:t xml:space="preserve">Continue to strengthen and expand circular/take-back programs, potentially increasing the recyclability percentage and exploring opportunities for component reuse or remanufacturing to further enhance end-of-life benefits.</w:t>
      </w:r>
    </w:p>
    <w:p>
      <w:pPr>
        <w:numPr>
          <w:ilvl w:val="0"/>
          <w:numId w:val="1016"/>
        </w:numPr>
        <w:pStyle w:val="Compact"/>
      </w:pPr>
      <w:r>
        <w:rPr>
          <w:bCs/>
          <w:b/>
        </w:rPr>
        <w:t xml:space="preserve">Supply Chain Engagement:</w:t>
      </w:r>
      <w:r>
        <w:t xml:space="preserve"> </w:t>
      </w:r>
      <w:r>
        <w:t xml:space="preserve">Collaborate with key suppliers to encourage renewable energy adoption and process efficiency improvements, especially for high-volume or high-impact components.</w:t>
      </w:r>
    </w:p>
    <w:p>
      <w:pPr>
        <w:pStyle w:val="FirstParagraph"/>
      </w:pPr>
      <w:r>
        <w:t xml:space="preserve">This PCF report serves as a critical baseline for jjzuizeyty\'s sustainability journey for "penhvmmnxe", enabling informed decision-making and strategic reductions in its environmental impact.</w:t>
      </w:r>
    </w:p>
    <w:p>
      <w:r>
        <w:pict>
          <v:rect style="width:0;height:1.5pt" o:hralign="center" o:hrstd="t" o:hr="t"/>
        </w:pict>
      </w:r>
    </w:p>
    <w:p>
      <w:pPr>
        <w:pStyle w:val="FirstParagraph"/>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penhvmmnxe</dc:title>
  <dc:creator/>
  <dc:description>Detailed Product Carbon Footprint (PCF) analysis report for penhvmmnxe by jjzuizeyty, adhering to GHG Protocol standards and 2026 LSR updates.</dc:description>
  <dc:language>en</dc:language>
  <cp:keywords/>
  <dcterms:created xsi:type="dcterms:W3CDTF">2026-07-15T12:43:08Z</dcterms:created>
  <dcterms:modified xsi:type="dcterms:W3CDTF">2026-07-15T12:43:08Z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