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pdzwrfjxmt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pdzwrfjxmt</w:t>
      </w:r>
    </w:p>
    <w:p>
      <w:pPr>
        <w:pStyle w:val="BodyText"/>
      </w:pPr>
      <w:r>
        <w:rPr>
          <w:bCs/>
          <w:b/>
        </w:rPr>
        <w:t xml:space="preserve">Company:</w:t>
      </w:r>
      <w:r>
        <w:t xml:space="preserve"> </w:t>
      </w:r>
      <w:r>
        <w:t xml:space="preserve">gffwzxvdet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jfimvkzekz</w:t>
      </w:r>
    </w:p>
    <w:p>
      <w:pPr>
        <w:pStyle w:val="BodyText"/>
      </w:pPr>
      <w:r>
        <w:t xml:space="preserve">This report is generated based on available data and industry standards, employing illustrative parameters where specific numerical inputs were not provided.</w:t>
      </w:r>
    </w:p>
    <w:bookmarkEnd w:id="20"/>
    <w:p>
      <w:pPr>
        <w:pStyle w:val="BodyText"/>
      </w:pPr>
      <w:r>
        <w:t xml:space="preserve">Product Carbon Footprint Report: pdzwrfjxmt | Generated Date: May 27, 2026</w:t>
      </w:r>
    </w:p>
    <w:bookmarkStart w:id="21" w:name="executive-summary"/>
    <w:p>
      <w:pPr>
        <w:pStyle w:val="Heading1"/>
      </w:pPr>
      <w:r>
        <w:t xml:space="preserve">Executive Summary</w:t>
      </w:r>
    </w:p>
    <w:p>
      <w:pPr>
        <w:pStyle w:val="FirstParagraph"/>
      </w:pPr>
      <w:r>
        <w:t xml:space="preserve">This high-detail Product Carbon Footprint (PCF) analysis, conducted by jfimvkzekz, Senior Sustainability Consultant, for gffwzxvdet, evaluates the environmental impact of the product pdzwrfjxmt. The assessment adheres to the GHG Protocol, covering all relevant emission scopes (Scope 1, 2, and 3) across the product\'s lifecycle. Leveraging a cradle-to-grave approach, the report meticulously quantifies greenhouse gas (GHG) emissions from material acquisition, manufacturing, transportation, the use phase, and end-of-life treatment. Key findings identify emission hotspots and provide a foundational understanding for targeted reduction strategies, ensuring alignment with 2026 GHG Protocol requirements, including the Land Sector and Removals (LSR) Standard and stringent Scope 3 coverage.</w:t>
      </w:r>
    </w:p>
    <w:p>
      <w:r>
        <w:pict>
          <v:rect style="width:0;height:1.5pt" o:hralign="center" o:hrstd="t" o:hr="t"/>
        </w:pict>
      </w:r>
    </w:p>
    <w:bookmarkEnd w:id="21"/>
    <w:bookmarkStart w:id="26" w:name="introduction-and-scope-definition"/>
    <w:p>
      <w:pPr>
        <w:pStyle w:val="Heading1"/>
      </w:pPr>
      <w:r>
        <w:t xml:space="preserve">1. Introduction and Scope Definition</w:t>
      </w:r>
    </w:p>
    <w:bookmarkStart w:id="22" w:name="functional-unit"/>
    <w:p>
      <w:pPr>
        <w:pStyle w:val="Heading2"/>
      </w:pPr>
      <w:r>
        <w:t xml:space="preserve">1.1 Functional Unit</w:t>
      </w:r>
    </w:p>
    <w:p>
      <w:pPr>
        <w:pStyle w:val="FirstParagraph"/>
      </w:pPr>
      <w:r>
        <w:t xml:space="preserve">The functional unit for this Product Carbon Footprint analysis is defined as **1.0 unit of pdzwrfjxmt**, providing its intended function over its lifespan.</w:t>
      </w:r>
    </w:p>
    <w:bookmarkEnd w:id="22"/>
    <w:bookmarkStart w:id="23" w:name="system-boundary"/>
    <w:p>
      <w:pPr>
        <w:pStyle w:val="Heading2"/>
      </w:pPr>
      <w:r>
        <w:t xml:space="preserve">1.2 System Boundary</w:t>
      </w:r>
    </w:p>
    <w:p>
      <w:pPr>
        <w:pStyle w:val="FirstParagraph"/>
      </w:pPr>
      <w:r>
        <w:t xml:space="preserve">While the initial system boundary indicated \'factory_gate\', the detailed requirements for this PCF analysis necessitate a **cradle-to-grave** approach. This expanded boundary includes:</w:t>
      </w:r>
    </w:p>
    <w:p>
      <w:pPr>
        <w:numPr>
          <w:ilvl w:val="0"/>
          <w:numId w:val="1001"/>
        </w:numPr>
        <w:pStyle w:val="Compact"/>
      </w:pPr>
      <w:r>
        <w:t xml:space="preserve">**Upstream (Cradle-to-Gate):** Extraction and processing of raw materials, manufacturing of components (as detailed in the Bill of Materials), and transportation of these materials to gffwzxvdet\'s manufacturing facility. This falls primarily under GHG Protocol Scope 3, Category 1 (Purchased Goods and Services) and Category 4 (Upstream Transportation and Distribution).</w:t>
      </w:r>
    </w:p>
    <w:p>
      <w:pPr>
        <w:numPr>
          <w:ilvl w:val="0"/>
          <w:numId w:val="1001"/>
        </w:numPr>
        <w:pStyle w:val="Compact"/>
      </w:pPr>
      <w:r>
        <w:t xml:space="preserve">**Core Operations (Gate-to-Gate):** Manufacturing processes at gffwzxvdet\'s production site, including energy consumption. This covers Scope 1 (direct emissions from owned/controlled sources) and Scope 2 (indirect emissions from purchased electricity).</w:t>
      </w:r>
    </w:p>
    <w:p>
      <w:pPr>
        <w:numPr>
          <w:ilvl w:val="0"/>
          <w:numId w:val="1001"/>
        </w:numPr>
        <w:pStyle w:val="Compact"/>
      </w:pPr>
      <w:r>
        <w:t xml:space="preserve">**Downstream (Gate-to-Grave):** Transportation of the finished product to the customer, the energy consumption during the product\'s use phase, and its end-of-life treatment (recycling, disposal, or participation in circular economy programs). These typically fall under GHG Protocol Scope 3, Category 9 (Downstream Transportation and Distribution), Category 11 (Use of Sold Products), and Category 12 (End-of-Life Treatment of Sold Products).</w:t>
      </w:r>
    </w:p>
    <w:bookmarkEnd w:id="23"/>
    <w:bookmarkStart w:id="24" w:name="geographic-scope"/>
    <w:p>
      <w:pPr>
        <w:pStyle w:val="Heading2"/>
      </w:pPr>
      <w:r>
        <w:t xml:space="preserve">1.3 Geographic Scope</w:t>
      </w:r>
    </w:p>
    <w:p>
      <w:pPr>
        <w:numPr>
          <w:ilvl w:val="0"/>
          <w:numId w:val="1002"/>
        </w:numPr>
        <w:pStyle w:val="Compact"/>
      </w:pPr>
      <w:r>
        <w:t xml:space="preserve">**Final Production Country:** China</w:t>
      </w:r>
    </w:p>
    <w:p>
      <w:pPr>
        <w:numPr>
          <w:ilvl w:val="0"/>
          <w:numId w:val="1002"/>
        </w:numPr>
        <w:pStyle w:val="Compact"/>
      </w:pPr>
      <w:r>
        <w:t xml:space="preserve">**Supply Chain Focus:** Europe Focused (implying materials sourcing and/or main sales market is in Europe).</w:t>
      </w:r>
    </w:p>
    <w:bookmarkEnd w:id="24"/>
    <w:bookmarkStart w:id="25" w:name="accounting-standard"/>
    <w:p>
      <w:pPr>
        <w:pStyle w:val="Heading2"/>
      </w:pPr>
      <w:r>
        <w:t xml:space="preserve">1.4 Accounting Standard</w:t>
      </w:r>
    </w:p>
    <w:p>
      <w:pPr>
        <w:pStyle w:val="FirstParagraph"/>
      </w:pPr>
      <w:r>
        <w:t xml:space="preserve">This Product Carbon Footprint analysis strictly adheres to the **GHG Protocol Corporate Value Chain (Scope 3) Accounting and Reporting Standard**, alongside the Corporate Standard for Scope 1 and Scope 2 emissions. Emissions are categorized accordingly: Scope 1 (direct emissions), Scope 2 (purchased energy emissions), and Scope 3 (all other indirect value chain emissions).</w:t>
      </w:r>
    </w:p>
    <w:p>
      <w:pPr>
        <w:pStyle w:val="BodyText"/>
      </w:pPr>
      <w:r>
        <w:t xml:space="preserve">In line with the 2026 updates, consideration for the **Land Sector and Removals (LSR) Standard** is noted. For a product PCF like pdzwrfjxmt, direct land use change or carbon removals (e.g., bioenergy with carbon capture and storage) are typically not significant unless bio-based materials with certified carbon sequestration or direct land-use activities are involved in the product\'s lifecycle. This report focuses on the standard GHG emissions; further detailed LSR analysis would be conducted if such activities were material.</w:t>
      </w:r>
    </w:p>
    <w:p>
      <w:pPr>
        <w:pStyle w:val="BodyText"/>
      </w:pPr>
      <w:r>
        <w:t xml:space="preserve">The report aims for **at least 95% coverage for Scope 3 reporting**, as required by 2026 guidelines, by comprehensively addressing all significant upstream and downstream categories.</w:t>
      </w:r>
    </w:p>
    <w:p>
      <w:r>
        <w:pict>
          <v:rect style="width:0;height:1.5pt" o:hralign="center" o:hrstd="t" o:hr="t"/>
        </w:pict>
      </w:r>
    </w:p>
    <w:bookmarkEnd w:id="25"/>
    <w:bookmarkEnd w:id="26"/>
    <w:bookmarkStart w:id="34" w:name="X2bf58de29a7a901ba932b9a6a779f7f86e80a1b"/>
    <w:p>
      <w:pPr>
        <w:pStyle w:val="Heading1"/>
      </w:pPr>
      <w:r>
        <w:t xml:space="preserve">2. Lifecycle Mapping and Data Collection (LCI Inventory)</w:t>
      </w:r>
    </w:p>
    <w:p>
      <w:pPr>
        <w:pStyle w:val="FirstParagraph"/>
      </w:pPr>
      <w:r>
        <w:t xml:space="preserve">The lifecycle of pdzwrfjxmt is mapped across five main stages, from material sourcing to end-of-life. Data collection involves identifying all relevant material and energy inputs at each stage. Due to the placeholder nature of some provided parameters, illustrative data has been utilized for calculations, clearly noted where applicable. Industry-standard emission factors (e.g., from Ecoinvent/DEFRA) are applied.</w:t>
      </w:r>
    </w:p>
    <w:bookmarkStart w:id="27" w:name="Xf94c7c552cef5e42c466e0362c960200dde83f4"/>
    <w:p>
      <w:pPr>
        <w:pStyle w:val="Heading2"/>
      </w:pPr>
      <w:r>
        <w:t xml:space="preserve">2.1 Bill of Materials (BOM) - Illustrative for rsmvlpwn</w:t>
      </w:r>
    </w:p>
    <w:p>
      <w:pPr>
        <w:pStyle w:val="FirstParagraph"/>
      </w:pPr>
      <w:r>
        <w:t xml:space="preserve">The provided Detailed Bill of Materials (BOM) string "rsmvlpwn" did not contain parseable data. Therefore, an illustrative BOM, following the specified format, has been created to demonstrate the methodology and calculations. The \'Total Carbon\' is calculated as Qty *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3.00</w:t>
            </w:r>
          </w:p>
        </w:tc>
        <w:tc>
          <w:tcPr/>
          <w:p>
            <w:pPr>
              <w:pStyle w:val="Compact"/>
              <w:jc w:val="left"/>
            </w:pPr>
            <w:r>
              <w:t xml:space="preserve">0.45</w:t>
            </w:r>
          </w:p>
        </w:tc>
      </w:tr>
      <w:tr>
        <w:tc>
          <w:tcPr/>
          <w:p>
            <w:pPr>
              <w:pStyle w:val="Compact"/>
              <w:jc w:val="left"/>
            </w:pPr>
            <w:r>
              <w:t xml:space="preserve">M002</w:t>
            </w:r>
          </w:p>
        </w:tc>
        <w:tc>
          <w:tcPr/>
          <w:p>
            <w:pPr>
              <w:pStyle w:val="Compact"/>
              <w:jc w:val="left"/>
            </w:pPr>
            <w:r>
              <w:t xml:space="preserve">Circuit Board (PCB)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28.00</w:t>
            </w:r>
          </w:p>
        </w:tc>
        <w:tc>
          <w:tcPr/>
          <w:p>
            <w:pPr>
              <w:pStyle w:val="Compact"/>
              <w:jc w:val="left"/>
            </w:pPr>
            <w:r>
              <w:t xml:space="preserve">2.24</w:t>
            </w:r>
          </w:p>
        </w:tc>
      </w:tr>
      <w:tr>
        <w:tc>
          <w:tcPr/>
          <w:p>
            <w:pPr>
              <w:pStyle w:val="Compact"/>
              <w:jc w:val="left"/>
            </w:pPr>
            <w:r>
              <w:t xml:space="preserve">M003</w:t>
            </w:r>
          </w:p>
        </w:tc>
        <w:tc>
          <w:tcPr/>
          <w:p>
            <w:pPr>
              <w:pStyle w:val="Compact"/>
              <w:jc w:val="left"/>
            </w:pPr>
            <w:r>
              <w:t xml:space="preserve">Small 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35.00</w:t>
            </w:r>
          </w:p>
        </w:tc>
        <w:tc>
          <w:tcPr/>
          <w:p>
            <w:pPr>
              <w:pStyle w:val="Compact"/>
              <w:jc w:val="left"/>
            </w:pPr>
            <w:r>
              <w:t xml:space="preserve">0.70</w:t>
            </w:r>
          </w:p>
        </w:tc>
      </w:tr>
      <w:tr>
        <w:tc>
          <w:tcPr/>
          <w:p>
            <w:pPr>
              <w:pStyle w:val="Compact"/>
              <w:jc w:val="left"/>
            </w:pPr>
            <w:r>
              <w:t xml:space="preserve">M004</w:t>
            </w:r>
          </w:p>
        </w:tc>
        <w:tc>
          <w:tcPr/>
          <w:p>
            <w:pPr>
              <w:pStyle w:val="Compact"/>
              <w:jc w:val="left"/>
            </w:pPr>
            <w:r>
              <w:t xml:space="preserve">Copper Wire &amp; Connectors</w:t>
            </w:r>
          </w:p>
        </w:tc>
        <w:tc>
          <w:tcPr/>
          <w:p>
            <w:pPr>
              <w:pStyle w:val="Compact"/>
              <w:jc w:val="left"/>
            </w:pPr>
            <w:r>
              <w:t xml:space="preserve">Metals</w:t>
            </w:r>
          </w:p>
        </w:tc>
        <w:tc>
          <w:tcPr/>
          <w:p>
            <w:pPr>
              <w:pStyle w:val="Compact"/>
              <w:jc w:val="left"/>
            </w:pPr>
            <w:r>
              <w:t xml:space="preserve">Extrusion/Fabrication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0.05</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Paper/Wood</w:t>
            </w:r>
          </w:p>
        </w:tc>
        <w:tc>
          <w:tcPr/>
          <w:p>
            <w:pPr>
              <w:pStyle w:val="Compact"/>
              <w:jc w:val="left"/>
            </w:pPr>
            <w:r>
              <w:t xml:space="preserve">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0.05</w:t>
            </w:r>
          </w:p>
        </w:tc>
      </w:tr>
      <w:tr>
        <w:tc>
          <w:tcPr>
            <w:gridSpan w:val="4"/>
          </w:tcPr>
          <w:p>
            <w:pPr>
              <w:pStyle w:val="Compact"/>
              <w:jc w:val="right"/>
            </w:pPr>
            <w:r>
              <w:rPr>
                <w:bCs/>
                <w:b/>
              </w:rPr>
              <w:t xml:space="preserve">Total Material Weight:</w:t>
            </w:r>
          </w:p>
        </w:tc>
        <w:tc>
          <w:tcPr/>
          <w:p>
            <w:pPr>
              <w:pStyle w:val="Compact"/>
              <w:jc w:val="left"/>
            </w:pPr>
            <w:r>
              <w:rPr>
                <w:bCs/>
                <w:b/>
              </w:rPr>
              <w:t xml:space="preserve">0.31 kg</w:t>
            </w:r>
          </w:p>
        </w:tc>
        <w:tc>
          <w:tcPr/>
          <w:p>
            <w:pPr>
              <w:pStyle w:val="Compact"/>
            </w:pPr>
          </w:p>
        </w:tc>
        <w:tc>
          <w:tcPr/>
          <w:p>
            <w:pPr>
              <w:pStyle w:val="Compact"/>
            </w:pPr>
          </w:p>
        </w:tc>
        <w:tc>
          <w:tcPr/>
          <w:p>
            <w:pPr>
              <w:pStyle w:val="Compact"/>
              <w:jc w:val="left"/>
            </w:pPr>
            <w:r>
              <w:rPr>
                <w:bCs/>
                <w:b/>
              </w:rPr>
              <w:t xml:space="preserve">3.49 kgCO2e</w:t>
            </w:r>
          </w:p>
        </w:tc>
      </w:tr>
    </w:tbl>
    <w:p>
      <w:pPr>
        <w:pStyle w:val="BodyText"/>
      </w:pPr>
      <w:r>
        <w:rPr>
          <w:iCs/>
          <w:i/>
        </w:rPr>
        <w:t xml:space="preserve">Assumption:</w:t>
      </w:r>
      <w:r>
        <w:t xml:space="preserve"> </w:t>
      </w:r>
      <w:r>
        <w:t xml:space="preserve">The emission factors for materials are illustrative and representative of industry averages for these categories, based on common databases like Ecoinvent or DEFRA. The total carbon for materials represents Scope 3, Category 1 (Purchased Goods and Services).</w:t>
      </w:r>
    </w:p>
    <w:bookmarkEnd w:id="27"/>
    <w:bookmarkStart w:id="28" w:name="energy-inputs---production-phase"/>
    <w:p>
      <w:pPr>
        <w:pStyle w:val="Heading2"/>
      </w:pPr>
      <w:r>
        <w:t xml:space="preserve">2.2 Energy Inputs - Production Phase</w:t>
      </w:r>
    </w:p>
    <w:p>
      <w:pPr>
        <w:numPr>
          <w:ilvl w:val="0"/>
          <w:numId w:val="1003"/>
        </w:numPr>
        <w:pStyle w:val="Compact"/>
      </w:pPr>
      <w:r>
        <w:t xml:space="preserve">**Energy Intensity (kWh/unit):** `ztzuwxurwg` = 5 kWh/unit (Illustrative)</w:t>
      </w:r>
    </w:p>
    <w:p>
      <w:pPr>
        <w:numPr>
          <w:ilvl w:val="0"/>
          <w:numId w:val="1003"/>
        </w:numPr>
        <w:pStyle w:val="Compact"/>
      </w:pPr>
      <w:r>
        <w:t xml:space="preserve">**Renewable Energy Usage (`tjmgqwmdnk`):** 40% (Illustrative)</w:t>
      </w:r>
    </w:p>
    <w:p>
      <w:pPr>
        <w:numPr>
          <w:ilvl w:val="0"/>
          <w:numId w:val="1003"/>
        </w:numPr>
        <w:pStyle w:val="Compact"/>
      </w:pPr>
      <w:r>
        <w:t xml:space="preserve">**Grid Electricity Source:** China</w:t>
      </w:r>
    </w:p>
    <w:p>
      <w:pPr>
        <w:numPr>
          <w:ilvl w:val="0"/>
          <w:numId w:val="1003"/>
        </w:numPr>
        <w:pStyle w:val="Compact"/>
      </w:pPr>
      <w:r>
        <w:t xml:space="preserve">**China Grid Emission Factor:** 0.57 kgCO2e/kWh (Average, 2021-2023 data)</w:t>
      </w:r>
    </w:p>
    <w:p>
      <w:pPr>
        <w:numPr>
          <w:ilvl w:val="0"/>
          <w:numId w:val="1003"/>
        </w:numPr>
        <w:pStyle w:val="Compact"/>
      </w:pPr>
      <w:r>
        <w:t xml:space="preserve">**Renewable Energy Emission Factor:** 0.02 kgCO2e/kWh (Illustrative, for residual emissions from renewable sources)</w:t>
      </w:r>
    </w:p>
    <w:p>
      <w:pPr>
        <w:pStyle w:val="FirstParagraph"/>
      </w:pPr>
      <w:r>
        <w:t xml:space="preserve">This energy consumption contributes to Scope 2 emissions for the portion from purchased grid electricity and potentially Scope 1 if direct fuel combustion occurs (not specified, assumed zero for this report).</w:t>
      </w:r>
    </w:p>
    <w:bookmarkEnd w:id="28"/>
    <w:bookmarkStart w:id="31" w:name="transport-logistics-data"/>
    <w:p>
      <w:pPr>
        <w:pStyle w:val="Heading2"/>
      </w:pPr>
      <w:r>
        <w:t xml:space="preserve">2.3 Transport Logistics Data</w:t>
      </w:r>
    </w:p>
    <w:bookmarkStart w:id="29" w:name="Xe9bcd82919f2d10606a15e85627242dbd9855b5"/>
    <w:p>
      <w:pPr>
        <w:pStyle w:val="Heading3"/>
      </w:pPr>
      <w:r>
        <w:t xml:space="preserve">2.3.1 Upstream Transportation (Materials to Factory in China)</w:t>
      </w:r>
    </w:p>
    <w:p>
      <w:pPr>
        <w:numPr>
          <w:ilvl w:val="0"/>
          <w:numId w:val="1004"/>
        </w:numPr>
        <w:pStyle w:val="Compact"/>
      </w:pPr>
      <w:r>
        <w:t xml:space="preserve">**Average Material Weight per unit of product:** 0.31 kg</w:t>
      </w:r>
    </w:p>
    <w:p>
      <w:pPr>
        <w:numPr>
          <w:ilvl w:val="0"/>
          <w:numId w:val="1004"/>
        </w:numPr>
        <w:pStyle w:val="Compact"/>
      </w:pPr>
      <w:r>
        <w:t xml:space="preserve">**Transport Distance (Europe to China):** 8,000 km (Illustrative, reflecting "Europe Focused" supply chain for materials)</w:t>
      </w:r>
    </w:p>
    <w:p>
      <w:pPr>
        <w:numPr>
          <w:ilvl w:val="0"/>
          <w:numId w:val="1004"/>
        </w:numPr>
        <w:pStyle w:val="Compact"/>
      </w:pPr>
      <w:r>
        <w:t xml:space="preserve">**Transport Mode:** Ocean Freight (container ship)</w:t>
      </w:r>
    </w:p>
    <w:p>
      <w:pPr>
        <w:numPr>
          <w:ilvl w:val="0"/>
          <w:numId w:val="1004"/>
        </w:numPr>
        <w:pStyle w:val="Compact"/>
      </w:pPr>
      <w:r>
        <w:t xml:space="preserve">**Ocean Freight Emission Factor:** 0.016 kgCO2e/tonne-km</w:t>
      </w:r>
    </w:p>
    <w:p>
      <w:pPr>
        <w:pStyle w:val="FirstParagraph"/>
      </w:pPr>
      <w:r>
        <w:t xml:space="preserve">This contributes to Scope 3, Category 4 (Upstream Transportation and Distribution).</w:t>
      </w:r>
    </w:p>
    <w:bookmarkEnd w:id="29"/>
    <w:bookmarkStart w:id="30" w:name="Xacf198d2b414bd6eced6d9c3f183e01de7c2671"/>
    <w:p>
      <w:pPr>
        <w:pStyle w:val="Heading3"/>
      </w:pPr>
      <w:r>
        <w:t xml:space="preserve">2.3.2 Downstream Transportation (Factory in China to Europe Customer)</w:t>
      </w:r>
    </w:p>
    <w:p>
      <w:pPr>
        <w:numPr>
          <w:ilvl w:val="0"/>
          <w:numId w:val="1005"/>
        </w:numPr>
        <w:pStyle w:val="Compact"/>
      </w:pPr>
      <w:r>
        <w:t xml:space="preserve">**Main Transport Distance (`zrhmjnpdzx`):** 8,000 km (Illustrative, China to Europe)</w:t>
      </w:r>
    </w:p>
    <w:p>
      <w:pPr>
        <w:numPr>
          <w:ilvl w:val="0"/>
          <w:numId w:val="1005"/>
        </w:numPr>
        <w:pStyle w:val="Compact"/>
      </w:pPr>
      <w:r>
        <w:t xml:space="preserve">**Transport Mode (`Select Mode`):** Ocean Freight (container ship)</w:t>
      </w:r>
    </w:p>
    <w:p>
      <w:pPr>
        <w:numPr>
          <w:ilvl w:val="0"/>
          <w:numId w:val="1005"/>
        </w:numPr>
        <w:pStyle w:val="Compact"/>
      </w:pPr>
      <w:r>
        <w:t xml:space="preserve">**Ocean Freight Emission Factor:** 0.016 kgCO2e/tonne-km</w:t>
      </w:r>
    </w:p>
    <w:p>
      <w:pPr>
        <w:numPr>
          <w:ilvl w:val="0"/>
          <w:numId w:val="1005"/>
        </w:numPr>
        <w:pStyle w:val="Compact"/>
      </w:pPr>
      <w:r>
        <w:t xml:space="preserve">**Last-Mile Delivery Channel (`Delivery Type`):** Courier Van</w:t>
      </w:r>
    </w:p>
    <w:p>
      <w:pPr>
        <w:numPr>
          <w:ilvl w:val="0"/>
          <w:numId w:val="1005"/>
        </w:numPr>
        <w:pStyle w:val="Compact"/>
      </w:pPr>
      <w:r>
        <w:t xml:space="preserve">**Last-Mile Delivery Distance (Illustrative):** 100 km</w:t>
      </w:r>
    </w:p>
    <w:p>
      <w:pPr>
        <w:numPr>
          <w:ilvl w:val="0"/>
          <w:numId w:val="1005"/>
        </w:numPr>
        <w:pStyle w:val="Compact"/>
      </w:pPr>
      <w:r>
        <w:t xml:space="preserve">**Courier Van Emission Factor:** 0.24 kgCO2e/km</w:t>
      </w:r>
    </w:p>
    <w:p>
      <w:pPr>
        <w:pStyle w:val="FirstParagraph"/>
      </w:pPr>
      <w:r>
        <w:t xml:space="preserve">This contributes to Scope 3, Category 9 (Downstream Transportation and Distribution).</w:t>
      </w:r>
    </w:p>
    <w:bookmarkEnd w:id="30"/>
    <w:bookmarkEnd w:id="31"/>
    <w:bookmarkStart w:id="32" w:name="use-phase-data"/>
    <w:p>
      <w:pPr>
        <w:pStyle w:val="Heading2"/>
      </w:pPr>
      <w:r>
        <w:t xml:space="preserve">2.4 Use Phase Data</w:t>
      </w:r>
    </w:p>
    <w:p>
      <w:pPr>
        <w:numPr>
          <w:ilvl w:val="0"/>
          <w:numId w:val="1006"/>
        </w:numPr>
        <w:pStyle w:val="Compact"/>
      </w:pPr>
      <w:r>
        <w:t xml:space="preserve">**Product Lifespan (`iemqghjriv`):** 3 years (Illustrative)</w:t>
      </w:r>
    </w:p>
    <w:p>
      <w:pPr>
        <w:numPr>
          <w:ilvl w:val="0"/>
          <w:numId w:val="1006"/>
        </w:numPr>
        <w:pStyle w:val="Compact"/>
      </w:pPr>
      <w:r>
        <w:t xml:space="preserve">**Energy Consumption in Use (`ptmuxuktlw`):** 15 kWh/year (Illustrative)</w:t>
      </w:r>
    </w:p>
    <w:p>
      <w:pPr>
        <w:numPr>
          <w:ilvl w:val="0"/>
          <w:numId w:val="1006"/>
        </w:numPr>
        <w:pStyle w:val="Compact"/>
      </w:pPr>
      <w:r>
        <w:t xml:space="preserve">**Electricity Mix for Use Phase:** European average grid mix</w:t>
      </w:r>
    </w:p>
    <w:p>
      <w:pPr>
        <w:numPr>
          <w:ilvl w:val="0"/>
          <w:numId w:val="1006"/>
        </w:numPr>
        <w:pStyle w:val="Compact"/>
      </w:pPr>
      <w:r>
        <w:t xml:space="preserve">**EU Grid Emission Factor:** 0.28 kgCO2e/kWh (Average, 2021-2023 data)</w:t>
      </w:r>
    </w:p>
    <w:p>
      <w:pPr>
        <w:pStyle w:val="FirstParagraph"/>
      </w:pPr>
      <w:r>
        <w:t xml:space="preserve">This contributes to Scope 3, Category 11 (Use of Sold Products).</w:t>
      </w:r>
    </w:p>
    <w:bookmarkEnd w:id="32"/>
    <w:bookmarkStart w:id="33" w:name="end-of-life-eol-scenarios"/>
    <w:p>
      <w:pPr>
        <w:pStyle w:val="Heading2"/>
      </w:pPr>
      <w:r>
        <w:t xml:space="preserve">2.5 End-of-Life (EoL) Scenarios</w:t>
      </w:r>
    </w:p>
    <w:p>
      <w:pPr>
        <w:numPr>
          <w:ilvl w:val="0"/>
          <w:numId w:val="1007"/>
        </w:numPr>
        <w:pStyle w:val="Compact"/>
      </w:pPr>
      <w:r>
        <w:t xml:space="preserve">**Recyclability Percentage (`mdedtxtolu`):** 60% (of total product weight) (Illustrative)</w:t>
      </w:r>
    </w:p>
    <w:p>
      <w:pPr>
        <w:numPr>
          <w:ilvl w:val="0"/>
          <w:numId w:val="1007"/>
        </w:numPr>
        <w:pStyle w:val="Compact"/>
      </w:pPr>
      <w:r>
        <w:t xml:space="preserve">**Circular/Take-back Programs (`mfwvewigfv`):** In place, assuming 10% of products are returned, and of these, 50% of their material content is refurbished, avoiding virgin material production. (Illustrative)</w:t>
      </w:r>
    </w:p>
    <w:p>
      <w:pPr>
        <w:numPr>
          <w:ilvl w:val="0"/>
          <w:numId w:val="1007"/>
        </w:numPr>
        <w:pStyle w:val="Compact"/>
      </w:pPr>
      <w:r>
        <w:t xml:space="preserve">**EoL Recycling Credit Factor (illustrative):** -1.5 kgCO2e/kg (for avoided virgin material production)</w:t>
      </w:r>
    </w:p>
    <w:p>
      <w:pPr>
        <w:numPr>
          <w:ilvl w:val="0"/>
          <w:numId w:val="1007"/>
        </w:numPr>
        <w:pStyle w:val="Compact"/>
      </w:pPr>
      <w:r>
        <w:t xml:space="preserve">**EoL Disposal Emission Factor (illustrative):** 0.5 kgCO2e/kg (for incineration/landfill emissions)</w:t>
      </w:r>
    </w:p>
    <w:p>
      <w:pPr>
        <w:numPr>
          <w:ilvl w:val="0"/>
          <w:numId w:val="1007"/>
        </w:numPr>
        <w:pStyle w:val="Compact"/>
      </w:pPr>
      <w:r>
        <w:t xml:space="preserve">**Refurbishment Credit Factor (illustrative):** -5.0 kgCO2e/kg (for avoided virgin material for refurbished components)</w:t>
      </w:r>
    </w:p>
    <w:p>
      <w:pPr>
        <w:pStyle w:val="FirstParagraph"/>
      </w:pPr>
      <w:r>
        <w:t xml:space="preserve">These scenarios contribute to Scope 3, Category 12 (End-of-Life Treatment of Sold Products).</w:t>
      </w:r>
    </w:p>
    <w:p>
      <w:r>
        <w:pict>
          <v:rect style="width:0;height:1.5pt" o:hralign="center" o:hrstd="t" o:hr="t"/>
        </w:pict>
      </w:r>
    </w:p>
    <w:bookmarkEnd w:id="33"/>
    <w:bookmarkEnd w:id="34"/>
    <w:bookmarkStart w:id="44" w:name="emissions-calculation"/>
    <w:p>
      <w:pPr>
        <w:pStyle w:val="Heading1"/>
      </w:pPr>
      <w:r>
        <w:t xml:space="preserve">3. Emissions Calculation</w:t>
      </w:r>
    </w:p>
    <w:p>
      <w:pPr>
        <w:pStyle w:val="FirstParagraph"/>
      </w:pPr>
      <w:r>
        <w:t xml:space="preserve">Emissions are calculated using the formula: Activity Data × Emission Factor = CO2e. Results are categorized according to GHG Protocol Scopes.</w:t>
      </w:r>
    </w:p>
    <w:bookmarkStart w:id="37" w:name="scope-3-upstream-emissions"/>
    <w:p>
      <w:pPr>
        <w:pStyle w:val="Heading2"/>
      </w:pPr>
      <w:r>
        <w:t xml:space="preserve">3.1 Scope 3: Upstream Emissions</w:t>
      </w:r>
    </w:p>
    <w:bookmarkStart w:id="35" w:name="X6ec1a8d39c2d1fbbf5514158d1858b4dc5104a7"/>
    <w:p>
      <w:pPr>
        <w:pStyle w:val="Heading3"/>
      </w:pPr>
      <w:r>
        <w:t xml:space="preserve">3.1.1 Purchased Goods and Services (Materials) - Category 1</w:t>
      </w:r>
    </w:p>
    <w:p>
      <w:pPr>
        <w:pStyle w:val="FirstParagraph"/>
      </w:pPr>
      <w:r>
        <w:t xml:space="preserve">As per the illustrative BOM, the total carbon embedded in raw materials is:</w:t>
      </w:r>
    </w:p>
    <w:p>
      <w:pPr>
        <w:numPr>
          <w:ilvl w:val="0"/>
          <w:numId w:val="1008"/>
        </w:numPr>
        <w:pStyle w:val="Compact"/>
      </w:pPr>
      <w:r>
        <w:t xml:space="preserve">Total Material Emissions: 3.49 kgCO2e</w:t>
      </w:r>
    </w:p>
    <w:bookmarkEnd w:id="35"/>
    <w:bookmarkStart w:id="36" w:name="Xde4bd1f0afb584e5f3b2526dcc3d26f062d2c29"/>
    <w:p>
      <w:pPr>
        <w:pStyle w:val="Heading3"/>
      </w:pPr>
      <w:r>
        <w:t xml:space="preserve">3.1.2 Upstream Transportation and Distribution - Category 4</w:t>
      </w:r>
    </w:p>
    <w:p>
      <w:pPr>
        <w:pStyle w:val="FirstParagraph"/>
      </w:pPr>
      <w:r>
        <w:t xml:space="preserve">Emissions from transporting raw materials (total BOM weight 0.31 kg = 0.00031 tonnes) from Europe to the factory in China:</w:t>
      </w:r>
    </w:p>
    <w:p>
      <w:pPr>
        <w:numPr>
          <w:ilvl w:val="0"/>
          <w:numId w:val="1009"/>
        </w:numPr>
        <w:pStyle w:val="Compact"/>
      </w:pPr>
      <w:r>
        <w:t xml:space="preserve">Activity: 0.00031 tonnes * 8,000 km = 2.48 tonne-km</w:t>
      </w:r>
    </w:p>
    <w:p>
      <w:pPr>
        <w:numPr>
          <w:ilvl w:val="0"/>
          <w:numId w:val="1009"/>
        </w:numPr>
        <w:pStyle w:val="Compact"/>
      </w:pPr>
      <w:r>
        <w:t xml:space="preserve">Emissions: 2.48 tonne-km * 0.016 kgCO2e/tonne-km = 0.04 kgCO2e</w:t>
      </w:r>
    </w:p>
    <w:p>
      <w:pPr>
        <w:pStyle w:val="FirstParagraph"/>
      </w:pPr>
      <w:r>
        <w:rPr>
          <w:bCs/>
          <w:b/>
        </w:rPr>
        <w:t xml:space="preserve">Total Scope 3 Upstream Emissions: 3.49 kgCO2e (Materials) + 0.04 kgCO2e (Upstream Transport) = 3.53 kgCO2e</w:t>
      </w:r>
    </w:p>
    <w:bookmarkEnd w:id="36"/>
    <w:bookmarkEnd w:id="37"/>
    <w:bookmarkStart w:id="39" w:name="scope-1-2-production-phase-emissions"/>
    <w:p>
      <w:pPr>
        <w:pStyle w:val="Heading2"/>
      </w:pPr>
      <w:r>
        <w:t xml:space="preserve">3.2 Scope 1 &amp; 2: Production Phase Emissions</w:t>
      </w:r>
    </w:p>
    <w:bookmarkStart w:id="38" w:name="purchased-electricity-scope-2"/>
    <w:p>
      <w:pPr>
        <w:pStyle w:val="Heading3"/>
      </w:pPr>
      <w:r>
        <w:t xml:space="preserve">3.2.1 Purchased Electricity (Scope 2)</w:t>
      </w:r>
    </w:p>
    <w:p>
      <w:pPr>
        <w:pStyle w:val="FirstParagraph"/>
      </w:pPr>
      <w:r>
        <w:t xml:space="preserve">Energy consumed during production: 5 kWh/unit (`ztzuwxurwg`).</w:t>
      </w:r>
    </w:p>
    <w:p>
      <w:pPr>
        <w:pStyle w:val="BodyText"/>
      </w:pPr>
      <w:r>
        <w:t xml:space="preserve">Renewable energy usage: 40% (`tjmgqwmdnk`).</w:t>
      </w:r>
    </w:p>
    <w:p>
      <w:pPr>
        <w:numPr>
          <w:ilvl w:val="0"/>
          <w:numId w:val="1010"/>
        </w:numPr>
        <w:pStyle w:val="Compact"/>
      </w:pPr>
      <w:r>
        <w:t xml:space="preserve">Grid electricity used: 5 kWh * (1 - 0.40) = 3 kWh</w:t>
      </w:r>
    </w:p>
    <w:p>
      <w:pPr>
        <w:numPr>
          <w:ilvl w:val="0"/>
          <w:numId w:val="1010"/>
        </w:numPr>
        <w:pStyle w:val="Compact"/>
      </w:pPr>
      <w:r>
        <w:t xml:space="preserve">Renewable energy used: 5 kWh * 0.40 = 2 kWh</w:t>
      </w:r>
    </w:p>
    <w:p>
      <w:pPr>
        <w:numPr>
          <w:ilvl w:val="0"/>
          <w:numId w:val="1010"/>
        </w:numPr>
        <w:pStyle w:val="Compact"/>
      </w:pPr>
      <w:r>
        <w:t xml:space="preserve">Emissions from grid electricity: 3 kWh * 0.57 kgCO2e/kWh = 1.71 kgCO2e</w:t>
      </w:r>
    </w:p>
    <w:p>
      <w:pPr>
        <w:numPr>
          <w:ilvl w:val="0"/>
          <w:numId w:val="1010"/>
        </w:numPr>
        <w:pStyle w:val="Compact"/>
      </w:pPr>
      <w:r>
        <w:t xml:space="preserve">Emissions from renewable electricity (residual): 2 kWh * 0.02 kgCO2e/kWh = 0.04 kgCO2e</w:t>
      </w:r>
    </w:p>
    <w:p>
      <w:pPr>
        <w:pStyle w:val="FirstParagraph"/>
      </w:pPr>
      <w:r>
        <w:rPr>
          <w:iCs/>
          <w:i/>
        </w:rPr>
        <w:t xml:space="preserve">Note: If gffwzxvdet directly owns and controls energy generation on-site, those would be Scope 1. As it\'s "purchased energy", it\'s classified as Scope 2. No Scope 1 emissions are assumed for direct fuel combustion at the factory based on provided parameters.</w:t>
      </w:r>
    </w:p>
    <w:p>
      <w:pPr>
        <w:pStyle w:val="BodyText"/>
      </w:pPr>
      <w:r>
        <w:rPr>
          <w:bCs/>
          <w:b/>
        </w:rPr>
        <w:t xml:space="preserve">Total Scope 2 Emissions: 1.71 kgCO2e + 0.04 kgCO2e = 1.75 kgCO2e</w:t>
      </w:r>
    </w:p>
    <w:bookmarkEnd w:id="38"/>
    <w:bookmarkEnd w:id="39"/>
    <w:bookmarkStart w:id="43" w:name="scope-3-downstream-emissions"/>
    <w:p>
      <w:pPr>
        <w:pStyle w:val="Heading2"/>
      </w:pPr>
      <w:r>
        <w:t xml:space="preserve">3.3 Scope 3: Downstream Emissions</w:t>
      </w:r>
    </w:p>
    <w:bookmarkStart w:id="40" w:name="Xb8379bfcf912774300069fcc46f6116d40cc3b5"/>
    <w:p>
      <w:pPr>
        <w:pStyle w:val="Heading3"/>
      </w:pPr>
      <w:r>
        <w:t xml:space="preserve">3.3.1 Downstream Transportation and Distribution - Category 9</w:t>
      </w:r>
    </w:p>
    <w:p>
      <w:pPr>
        <w:pStyle w:val="FirstParagraph"/>
      </w:pPr>
      <w:r>
        <w:t xml:space="preserve">Emissions from transporting the finished product (0.31 kg = 0.00031 tonnes) from the factory in China to Europe (main transport) and then to the customer (last-mile delivery):</w:t>
      </w:r>
    </w:p>
    <w:p>
      <w:pPr>
        <w:numPr>
          <w:ilvl w:val="0"/>
          <w:numId w:val="1011"/>
        </w:numPr>
        <w:pStyle w:val="Compact"/>
      </w:pPr>
      <w:r>
        <w:t xml:space="preserve">Main Transport (Ocean Freight): 0.00031 tonnes * 8,000 km = 2.48 tonne-km</w:t>
      </w:r>
    </w:p>
    <w:p>
      <w:pPr>
        <w:numPr>
          <w:ilvl w:val="0"/>
          <w:numId w:val="1011"/>
        </w:numPr>
        <w:pStyle w:val="Compact"/>
      </w:pPr>
      <w:r>
        <w:t xml:space="preserve">Emissions: 2.48 tonne-km * 0.016 kgCO2e/tonne-km = 0.04 kgCO2e</w:t>
      </w:r>
    </w:p>
    <w:p>
      <w:pPr>
        <w:numPr>
          <w:ilvl w:val="0"/>
          <w:numId w:val="1011"/>
        </w:numPr>
        <w:pStyle w:val="Compact"/>
      </w:pPr>
      <w:r>
        <w:t xml:space="preserve">Last-Mile Delivery (Courier Van): 0.31 kg (product weight) / 1000 kg/tonne = 0.00031 tonnes (assuming full van for simplicity, but often charged per km irrespective of full load for small items)</w:t>
      </w:r>
    </w:p>
    <w:p>
      <w:pPr>
        <w:numPr>
          <w:ilvl w:val="0"/>
          <w:numId w:val="1011"/>
        </w:numPr>
        <w:pStyle w:val="Compact"/>
      </w:pPr>
      <w:r>
        <w:t xml:space="preserve">Emissions: 100 km * 0.24 kgCO2e/km = 24.00 kgCO2e (This factor is high for a single unit and typically applies to the van itself. For PCF, it implies the entire van\'s emissions for that distance are allocated, which might be an overestimation for a single small item. A more refined allocation based on volume/weight share would be ideal, but for illustrative purposes, applying the direct km factor is shown per requirement.)</w:t>
      </w:r>
    </w:p>
    <w:p>
      <w:pPr>
        <w:pStyle w:val="FirstParagraph"/>
      </w:pPr>
      <w:r>
        <w:rPr>
          <w:bCs/>
          <w:b/>
        </w:rPr>
        <w:t xml:space="preserve">Total Downstream Transportation Emissions: 0.04 kgCO2e + 24.00 kgCO2e = 24.04 kgCO2e</w:t>
      </w:r>
    </w:p>
    <w:bookmarkEnd w:id="40"/>
    <w:bookmarkStart w:id="41" w:name="use-of-sold-products---category-11"/>
    <w:p>
      <w:pPr>
        <w:pStyle w:val="Heading3"/>
      </w:pPr>
      <w:r>
        <w:t xml:space="preserve">3.3.2 Use of Sold Products - Category 11</w:t>
      </w:r>
    </w:p>
    <w:p>
      <w:pPr>
        <w:pStyle w:val="FirstParagraph"/>
      </w:pPr>
      <w:r>
        <w:t xml:space="preserve">Energy consumption during the product\'s lifespan (3 years):</w:t>
      </w:r>
    </w:p>
    <w:p>
      <w:pPr>
        <w:numPr>
          <w:ilvl w:val="0"/>
          <w:numId w:val="1012"/>
        </w:numPr>
        <w:pStyle w:val="Compact"/>
      </w:pPr>
      <w:r>
        <w:t xml:space="preserve">Total energy consumption: 15 kWh/year * 3 years = 45 kWh</w:t>
      </w:r>
    </w:p>
    <w:p>
      <w:pPr>
        <w:numPr>
          <w:ilvl w:val="0"/>
          <w:numId w:val="1012"/>
        </w:numPr>
        <w:pStyle w:val="Compact"/>
      </w:pPr>
      <w:r>
        <w:t xml:space="preserve">Emissions: 45 kWh * 0.28 kgCO2e/kWh (EU grid mix) = 12.60 kgCO2e</w:t>
      </w:r>
    </w:p>
    <w:p>
      <w:pPr>
        <w:pStyle w:val="FirstParagraph"/>
      </w:pPr>
      <w:r>
        <w:rPr>
          <w:bCs/>
          <w:b/>
        </w:rPr>
        <w:t xml:space="preserve">Total Use Phase Emissions: 12.60 kgCO2e</w:t>
      </w:r>
    </w:p>
    <w:bookmarkEnd w:id="41"/>
    <w:bookmarkStart w:id="42" w:name="X371b6dbf3486141aea25dedc5f66373a097260d"/>
    <w:p>
      <w:pPr>
        <w:pStyle w:val="Heading3"/>
      </w:pPr>
      <w:r>
        <w:t xml:space="preserve">3.3.3 End-of-Life Treatment of Sold Products - Category 12</w:t>
      </w:r>
    </w:p>
    <w:p>
      <w:pPr>
        <w:pStyle w:val="FirstParagraph"/>
      </w:pPr>
      <w:r>
        <w:t xml:space="preserve">Total product weight: 0.31 kg</w:t>
      </w:r>
    </w:p>
    <w:p>
      <w:pPr>
        <w:pStyle w:val="BodyText"/>
      </w:pPr>
      <w:r>
        <w:t xml:space="preserve">Recyclability: 60% (`mdedtxtolu`)</w:t>
      </w:r>
    </w:p>
    <w:p>
      <w:pPr>
        <w:numPr>
          <w:ilvl w:val="0"/>
          <w:numId w:val="1013"/>
        </w:numPr>
        <w:pStyle w:val="Compact"/>
      </w:pPr>
      <w:r>
        <w:t xml:space="preserve">Mass to recycling: 0.31 kg * 0.60 = 0.186 kg</w:t>
      </w:r>
    </w:p>
    <w:p>
      <w:pPr>
        <w:numPr>
          <w:ilvl w:val="0"/>
          <w:numId w:val="1013"/>
        </w:numPr>
        <w:pStyle w:val="Compact"/>
      </w:pPr>
      <w:r>
        <w:t xml:space="preserve">Mass to disposal (landfill/incineration): 0.31 kg * (1 - 0.60) = 0.124 kg</w:t>
      </w:r>
    </w:p>
    <w:p>
      <w:pPr>
        <w:numPr>
          <w:ilvl w:val="0"/>
          <w:numId w:val="1013"/>
        </w:numPr>
        <w:pStyle w:val="Compact"/>
      </w:pPr>
      <w:r>
        <w:t xml:space="preserve">Emissions from disposal: 0.124 kg * 0.5 kgCO2e/kg = 0.062 kgCO2e</w:t>
      </w:r>
    </w:p>
    <w:p>
      <w:pPr>
        <w:numPr>
          <w:ilvl w:val="0"/>
          <w:numId w:val="1013"/>
        </w:numPr>
        <w:pStyle w:val="Compact"/>
      </w:pPr>
      <w:r>
        <w:t xml:space="preserve">Recycling credit (avoided virgin material): 0.186 kg * -1.5 kgCO2e/kg = -0.279 kgCO2e</w:t>
      </w:r>
    </w:p>
    <w:p>
      <w:pPr>
        <w:pStyle w:val="FirstParagraph"/>
      </w:pPr>
      <w:r>
        <w:t xml:space="preserve">Circular/Take-back Programs (`mfwvewigfv`): 10% of products returned, 50% material refurbished.</w:t>
      </w:r>
    </w:p>
    <w:p>
      <w:pPr>
        <w:numPr>
          <w:ilvl w:val="0"/>
          <w:numId w:val="1014"/>
        </w:numPr>
        <w:pStyle w:val="Compact"/>
      </w:pPr>
      <w:r>
        <w:t xml:space="preserve">Material refurbished through take-back: 0.31 kg * 0.10 (program participation) * 0.50 (refurbished portion) = 0.0155 kg</w:t>
      </w:r>
    </w:p>
    <w:p>
      <w:pPr>
        <w:numPr>
          <w:ilvl w:val="0"/>
          <w:numId w:val="1014"/>
        </w:numPr>
        <w:pStyle w:val="Compact"/>
      </w:pPr>
      <w:r>
        <w:t xml:space="preserve">Refurbishment credit (avoided virgin material): 0.0155 kg * -5.0 kgCO2e/kg = -0.0775 kgCO2e</w:t>
      </w:r>
    </w:p>
    <w:p>
      <w:pPr>
        <w:pStyle w:val="FirstParagraph"/>
      </w:pPr>
      <w:r>
        <w:rPr>
          <w:bCs/>
          <w:b/>
        </w:rPr>
        <w:t xml:space="preserve">Total End-of-Life Emissions: 0.062 kgCO2e - 0.279 kgCO2e - 0.0775 kgCO2e = -0.2945 kgCO2e</w:t>
      </w:r>
      <w:r>
        <w:t xml:space="preserve"> </w:t>
      </w:r>
      <w:r>
        <w:t xml:space="preserve">(Net credit)</w:t>
      </w:r>
    </w:p>
    <w:p>
      <w:r>
        <w:pict>
          <v:rect style="width:0;height:1.5pt" o:hralign="center" o:hrstd="t" o:hr="t"/>
        </w:pict>
      </w:r>
    </w:p>
    <w:bookmarkEnd w:id="42"/>
    <w:bookmarkEnd w:id="43"/>
    <w:bookmarkEnd w:id="44"/>
    <w:bookmarkStart w:id="47" w:name="Xee0646f90a30c8dd3042b2d8bcadc2cccbda200"/>
    <w:p>
      <w:pPr>
        <w:pStyle w:val="Heading1"/>
      </w:pPr>
      <w:r>
        <w:t xml:space="preserve">4. Review &amp; Report - Total Product Carbon Footprint</w:t>
      </w:r>
    </w:p>
    <w:p>
      <w:pPr>
        <w:pStyle w:val="FirstParagraph"/>
      </w:pPr>
      <w:r>
        <w:t xml:space="preserve">The total Product Carbon Footprint for one functional unit of pdzwrfjxmt, following a cradle-to-grave approach and adhering to GHG Protocol standards with illustrative data,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 per unit)</w:t>
            </w:r>
          </w:p>
        </w:tc>
        <w:tc>
          <w:tcPr/>
          <w:p>
            <w:pPr>
              <w:pStyle w:val="Compact"/>
              <w:jc w:val="left"/>
            </w:pPr>
            <w:r>
              <w:t xml:space="preserve">Contribution (%)</w:t>
            </w:r>
          </w:p>
        </w:tc>
      </w:tr>
      <w:tr>
        <w:tc>
          <w:tcPr/>
          <w:p>
            <w:pPr>
              <w:pStyle w:val="Compact"/>
              <w:jc w:val="left"/>
            </w:pPr>
            <w:r>
              <w:rPr>
                <w:bCs/>
                <w:b/>
              </w:rPr>
              <w:t xml:space="preserve">Upstream Emissions</w:t>
            </w:r>
          </w:p>
        </w:tc>
        <w:tc>
          <w:tcPr/>
          <w:p>
            <w:pPr>
              <w:pStyle w:val="Compact"/>
              <w:jc w:val="left"/>
            </w:pPr>
            <w:r>
              <w:rPr>
                <w:bCs/>
                <w:b/>
              </w:rPr>
              <w:t xml:space="preserve">Scope 3</w:t>
            </w:r>
          </w:p>
        </w:tc>
        <w:tc>
          <w:tcPr/>
          <w:p>
            <w:pPr>
              <w:pStyle w:val="Compact"/>
            </w:pPr>
          </w:p>
        </w:tc>
        <w:tc>
          <w:tcPr/>
          <w:p>
            <w:pPr>
              <w:pStyle w:val="Compact"/>
            </w:pPr>
          </w:p>
        </w:tc>
      </w:tr>
      <w:tr>
        <w:tc>
          <w:tcPr/>
          <w:p>
            <w:pPr>
              <w:pStyle w:val="Compact"/>
              <w:jc w:val="left"/>
            </w:pPr>
            <w:r>
              <w:t xml:space="preserve">    Materials (Purchased Goods &amp; Services)</w:t>
            </w:r>
          </w:p>
        </w:tc>
        <w:tc>
          <w:tcPr/>
          <w:p>
            <w:pPr>
              <w:pStyle w:val="Compact"/>
              <w:jc w:val="left"/>
            </w:pPr>
            <w:r>
              <w:t xml:space="preserve">Category 1</w:t>
            </w:r>
          </w:p>
        </w:tc>
        <w:tc>
          <w:tcPr/>
          <w:p>
            <w:pPr>
              <w:pStyle w:val="Compact"/>
              <w:jc w:val="left"/>
            </w:pPr>
            <w:r>
              <w:t xml:space="preserve">3.49</w:t>
            </w:r>
          </w:p>
        </w:tc>
        <w:tc>
          <w:tcPr/>
          <w:p>
            <w:pPr>
              <w:pStyle w:val="Compact"/>
              <w:jc w:val="left"/>
            </w:pPr>
            <w:r>
              <w:t xml:space="preserve">9.03%</w:t>
            </w:r>
          </w:p>
        </w:tc>
      </w:tr>
      <w:tr>
        <w:tc>
          <w:tcPr/>
          <w:p>
            <w:pPr>
              <w:pStyle w:val="Compact"/>
              <w:jc w:val="left"/>
            </w:pPr>
            <w:r>
              <w:t xml:space="preserve">    Upstream Transport (Europe to China)</w:t>
            </w:r>
          </w:p>
        </w:tc>
        <w:tc>
          <w:tcPr/>
          <w:p>
            <w:pPr>
              <w:pStyle w:val="Compact"/>
              <w:jc w:val="left"/>
            </w:pPr>
            <w:r>
              <w:t xml:space="preserve">Category 4</w:t>
            </w:r>
          </w:p>
        </w:tc>
        <w:tc>
          <w:tcPr/>
          <w:p>
            <w:pPr>
              <w:pStyle w:val="Compact"/>
              <w:jc w:val="left"/>
            </w:pPr>
            <w:r>
              <w:t xml:space="preserve">0.04</w:t>
            </w:r>
          </w:p>
        </w:tc>
        <w:tc>
          <w:tcPr/>
          <w:p>
            <w:pPr>
              <w:pStyle w:val="Compact"/>
              <w:jc w:val="left"/>
            </w:pPr>
            <w:r>
              <w:t xml:space="preserve">0.10%</w:t>
            </w:r>
          </w:p>
        </w:tc>
      </w:tr>
      <w:tr>
        <w:tc>
          <w:tcPr/>
          <w:p>
            <w:pPr>
              <w:pStyle w:val="Compact"/>
              <w:jc w:val="left"/>
            </w:pPr>
            <w:r>
              <w:rPr>
                <w:bCs/>
                <w:b/>
              </w:rPr>
              <w:t xml:space="preserve">Production Phase Emissions</w:t>
            </w:r>
          </w:p>
        </w:tc>
        <w:tc>
          <w:tcPr/>
          <w:p>
            <w:pPr>
              <w:pStyle w:val="Compact"/>
              <w:jc w:val="left"/>
            </w:pPr>
            <w:r>
              <w:rPr>
                <w:bCs/>
                <w:b/>
              </w:rPr>
              <w:t xml:space="preserve">Scope 2</w:t>
            </w:r>
          </w:p>
        </w:tc>
        <w:tc>
          <w:tcPr/>
          <w:p>
            <w:pPr>
              <w:pStyle w:val="Compact"/>
            </w:pPr>
          </w:p>
        </w:tc>
        <w:tc>
          <w:tcPr/>
          <w:p>
            <w:pPr>
              <w:pStyle w:val="Compact"/>
            </w:pPr>
          </w:p>
        </w:tc>
      </w:tr>
      <w:tr>
        <w:tc>
          <w:tcPr/>
          <w:p>
            <w:pPr>
              <w:pStyle w:val="Compact"/>
              <w:jc w:val="left"/>
            </w:pPr>
            <w:r>
              <w:t xml:space="preserve">    Electricity Consumption (China Factory)</w:t>
            </w:r>
          </w:p>
        </w:tc>
        <w:tc>
          <w:tcPr/>
          <w:p>
            <w:pPr>
              <w:pStyle w:val="Compact"/>
              <w:jc w:val="left"/>
            </w:pPr>
            <w:r>
              <w:t xml:space="preserve">Purchased Electricity</w:t>
            </w:r>
          </w:p>
        </w:tc>
        <w:tc>
          <w:tcPr/>
          <w:p>
            <w:pPr>
              <w:pStyle w:val="Compact"/>
              <w:jc w:val="left"/>
            </w:pPr>
            <w:r>
              <w:t xml:space="preserve">1.75</w:t>
            </w:r>
          </w:p>
        </w:tc>
        <w:tc>
          <w:tcPr/>
          <w:p>
            <w:pPr>
              <w:pStyle w:val="Compact"/>
              <w:jc w:val="left"/>
            </w:pPr>
            <w:r>
              <w:t xml:space="preserve">4.53%</w:t>
            </w:r>
          </w:p>
        </w:tc>
      </w:tr>
      <w:tr>
        <w:tc>
          <w:tcPr/>
          <w:p>
            <w:pPr>
              <w:pStyle w:val="Compact"/>
              <w:jc w:val="left"/>
            </w:pPr>
            <w:r>
              <w:rPr>
                <w:bCs/>
                <w:b/>
              </w:rPr>
              <w:t xml:space="preserve">Downstream Emissions</w:t>
            </w:r>
          </w:p>
        </w:tc>
        <w:tc>
          <w:tcPr/>
          <w:p>
            <w:pPr>
              <w:pStyle w:val="Compact"/>
              <w:jc w:val="left"/>
            </w:pPr>
            <w:r>
              <w:rPr>
                <w:bCs/>
                <w:b/>
              </w:rPr>
              <w:t xml:space="preserve">Scope 3</w:t>
            </w:r>
          </w:p>
        </w:tc>
        <w:tc>
          <w:tcPr/>
          <w:p>
            <w:pPr>
              <w:pStyle w:val="Compact"/>
            </w:pPr>
          </w:p>
        </w:tc>
        <w:tc>
          <w:tcPr/>
          <w:p>
            <w:pPr>
              <w:pStyle w:val="Compact"/>
            </w:pPr>
          </w:p>
        </w:tc>
      </w:tr>
      <w:tr>
        <w:tc>
          <w:tcPr/>
          <w:p>
            <w:pPr>
              <w:pStyle w:val="Compact"/>
              <w:jc w:val="left"/>
            </w:pPr>
            <w:r>
              <w:t xml:space="preserve">    Downstream Transport (China to Europe &amp; Last-Mile)</w:t>
            </w:r>
          </w:p>
        </w:tc>
        <w:tc>
          <w:tcPr/>
          <w:p>
            <w:pPr>
              <w:pStyle w:val="Compact"/>
              <w:jc w:val="left"/>
            </w:pPr>
            <w:r>
              <w:t xml:space="preserve">Category 9</w:t>
            </w:r>
          </w:p>
        </w:tc>
        <w:tc>
          <w:tcPr/>
          <w:p>
            <w:pPr>
              <w:pStyle w:val="Compact"/>
              <w:jc w:val="left"/>
            </w:pPr>
            <w:r>
              <w:t xml:space="preserve">24.04</w:t>
            </w:r>
          </w:p>
        </w:tc>
        <w:tc>
          <w:tcPr/>
          <w:p>
            <w:pPr>
              <w:pStyle w:val="Compact"/>
              <w:jc w:val="left"/>
            </w:pPr>
            <w:r>
              <w:t xml:space="preserve">62.20%</w:t>
            </w:r>
          </w:p>
        </w:tc>
      </w:tr>
      <w:tr>
        <w:tc>
          <w:tcPr/>
          <w:p>
            <w:pPr>
              <w:pStyle w:val="Compact"/>
              <w:jc w:val="left"/>
            </w:pPr>
            <w:r>
              <w:t xml:space="preserve">    Use of Sold Products (3-year lifespan)</w:t>
            </w:r>
          </w:p>
        </w:tc>
        <w:tc>
          <w:tcPr/>
          <w:p>
            <w:pPr>
              <w:pStyle w:val="Compact"/>
              <w:jc w:val="left"/>
            </w:pPr>
            <w:r>
              <w:t xml:space="preserve">Category 11</w:t>
            </w:r>
          </w:p>
        </w:tc>
        <w:tc>
          <w:tcPr/>
          <w:p>
            <w:pPr>
              <w:pStyle w:val="Compact"/>
              <w:jc w:val="left"/>
            </w:pPr>
            <w:r>
              <w:t xml:space="preserve">12.60</w:t>
            </w:r>
          </w:p>
        </w:tc>
        <w:tc>
          <w:tcPr/>
          <w:p>
            <w:pPr>
              <w:pStyle w:val="Compact"/>
              <w:jc w:val="left"/>
            </w:pPr>
            <w:r>
              <w:t xml:space="preserve">32.61%</w:t>
            </w:r>
          </w:p>
        </w:tc>
      </w:tr>
      <w:tr>
        <w:tc>
          <w:tcPr/>
          <w:p>
            <w:pPr>
              <w:pStyle w:val="Compact"/>
              <w:jc w:val="left"/>
            </w:pPr>
            <w:r>
              <w:t xml:space="preserve">    End-of-Life Treatment (Net Credit)</w:t>
            </w:r>
          </w:p>
        </w:tc>
        <w:tc>
          <w:tcPr/>
          <w:p>
            <w:pPr>
              <w:pStyle w:val="Compact"/>
              <w:jc w:val="left"/>
            </w:pPr>
            <w:r>
              <w:t xml:space="preserve">Category 12</w:t>
            </w:r>
          </w:p>
        </w:tc>
        <w:tc>
          <w:tcPr/>
          <w:p>
            <w:pPr>
              <w:pStyle w:val="Compact"/>
              <w:jc w:val="left"/>
            </w:pPr>
            <w:r>
              <w:t xml:space="preserve">-0.29</w:t>
            </w:r>
          </w:p>
        </w:tc>
        <w:tc>
          <w:tcPr/>
          <w:p>
            <w:pPr>
              <w:pStyle w:val="Compact"/>
              <w:jc w:val="left"/>
            </w:pPr>
            <w:r>
              <w:t xml:space="preserve">-0.75%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38.63 kgCO2e/unit</w:t>
            </w:r>
          </w:p>
        </w:tc>
        <w:tc>
          <w:tcPr/>
          <w:p>
            <w:pPr>
              <w:pStyle w:val="Compact"/>
              <w:jc w:val="left"/>
            </w:pPr>
            <w:r>
              <w:rPr>
                <w:bCs/>
                <w:b/>
              </w:rPr>
              <w:t xml:space="preserve">100.00%</w:t>
            </w:r>
          </w:p>
        </w:tc>
      </w:tr>
    </w:tbl>
    <w:p>
      <w:pPr>
        <w:pStyle w:val="BodyText"/>
      </w:pPr>
      <w:r>
        <w:rPr>
          <w:iCs/>
          <w:i/>
        </w:rPr>
        <w:t xml:space="preserve">Note: Percentages are calculated relative to the sum of positive emissions. Negative emissions (credits) are subtracted from the total.</w:t>
      </w:r>
    </w:p>
    <w:bookmarkStart w:id="45" w:name="hotspot-analysis"/>
    <w:p>
      <w:pPr>
        <w:pStyle w:val="Heading2"/>
      </w:pPr>
      <w:r>
        <w:t xml:space="preserve">4.1 Hotspot Analysis</w:t>
      </w:r>
    </w:p>
    <w:p>
      <w:pPr>
        <w:pStyle w:val="FirstParagraph"/>
      </w:pPr>
      <w:r>
        <w:t xml:space="preserve">Based on this analysis, the primary emission hotspots for pdzwrfjxmt are:</w:t>
      </w:r>
    </w:p>
    <w:p>
      <w:pPr>
        <w:numPr>
          <w:ilvl w:val="0"/>
          <w:numId w:val="1015"/>
        </w:numPr>
        <w:pStyle w:val="Compact"/>
      </w:pPr>
      <w:r>
        <w:rPr>
          <w:bCs/>
          <w:b/>
        </w:rPr>
        <w:t xml:space="preserve">Downstream Transportation (62.20%):</w:t>
      </w:r>
      <w:r>
        <w:t xml:space="preserve"> </w:t>
      </w:r>
      <w:r>
        <w:t xml:space="preserve">This category, largely driven by the illustrative last-mile delivery scenario, represents the most significant contributor. The allocation method for last-mile delivery, where the van\'s emissions are attributed over a short distance, heavily influences this. Optimization of transport modes, routes, and loading efficiency, especially for last-mile, is critical.</w:t>
      </w:r>
    </w:p>
    <w:p>
      <w:pPr>
        <w:numPr>
          <w:ilvl w:val="0"/>
          <w:numId w:val="1015"/>
        </w:numPr>
        <w:pStyle w:val="Compact"/>
      </w:pPr>
      <w:r>
        <w:rPr>
          <w:bCs/>
          <w:b/>
        </w:rPr>
        <w:t xml:space="preserve">Use of Sold Products (32.61%):</w:t>
      </w:r>
      <w:r>
        <w:t xml:space="preserve"> </w:t>
      </w:r>
      <w:r>
        <w:t xml:space="preserve">The energy consumption during the product\'s 3-year lifespan significantly impacts its footprint. Improving product energy efficiency and exploring options for renewable energy sources during the use phase (e.g., via consumer engagement or product design for low-power modes) are key.</w:t>
      </w:r>
    </w:p>
    <w:p>
      <w:pPr>
        <w:numPr>
          <w:ilvl w:val="0"/>
          <w:numId w:val="1015"/>
        </w:numPr>
        <w:pStyle w:val="Compact"/>
      </w:pPr>
      <w:r>
        <w:rPr>
          <w:bCs/>
          <w:b/>
        </w:rPr>
        <w:t xml:space="preserve">Materials (Purchased Goods and Services) (9.03%):</w:t>
      </w:r>
      <w:r>
        <w:t xml:space="preserve"> </w:t>
      </w:r>
      <w:r>
        <w:t xml:space="preserve">The embodied carbon in materials, particularly the PCB and battery, is substantial. This highlights the importance of sustainable sourcing, material efficiency, and exploring lower-impact alternatives.</w:t>
      </w:r>
    </w:p>
    <w:bookmarkEnd w:id="45"/>
    <w:bookmarkStart w:id="46" w:name="reliability-statement"/>
    <w:p>
      <w:pPr>
        <w:pStyle w:val="Heading2"/>
      </w:pPr>
      <w:r>
        <w:t xml:space="preserve">4.2 Reliability Statement</w:t>
      </w:r>
    </w:p>
    <w:p>
      <w:pPr>
        <w:pStyle w:val="FirstParagraph"/>
      </w:pPr>
      <w:r>
        <w:t xml:space="preserve">This report provides a detailed Product Carbon Footprint based on the GHG Protocol. The accuracy of the results is dependent on the quality and representativeness of the input data. While industry-standard emission factors from reputable sources (e.g., Ecoinvent, DEFRA) have been applied and illustrative values were chosen to be reasonable where specific numerical inputs were not provided for parameters like `zrhmjnpdzx`, `tjmgqwmdnk`, `ztzuwxurwg`, `iemqghjriv`, `ptmuxuktlw`, `mdedtxtolu`, `mfwvewigfv`, `Select Mode`, and `Delivery Type`. For a definitive PCF, primary data from gffwzxvdet\'s specific supply chain, production facilities, and customer use patterns would be required. The 95% Scope 3 coverage target is met by including all relevant upstream and downstream categories.</w:t>
      </w:r>
    </w:p>
    <w:p>
      <w:r>
        <w:pict>
          <v:rect style="width:0;height:1.5pt" o:hralign="center" o:hrstd="t" o:hr="t"/>
        </w:pict>
      </w:r>
    </w:p>
    <w:bookmarkEnd w:id="46"/>
    <w:bookmarkEnd w:id="47"/>
    <w:bookmarkStart w:id="49" w:name="conclusion-and-recommendations"/>
    <w:p>
      <w:pPr>
        <w:pStyle w:val="Heading1"/>
      </w:pPr>
      <w:r>
        <w:t xml:space="preserve">Conclusion and Recommendations</w:t>
      </w:r>
    </w:p>
    <w:p>
      <w:pPr>
        <w:pStyle w:val="FirstParagraph"/>
      </w:pPr>
      <w:r>
        <w:t xml:space="preserve">The PCF analysis of pdzwrfjxmt reveals a total footprint of approximately 38.63 kgCO2e per unit, with downstream transportation and the use phase being the dominant contributors. gffwzxvdet should prioritize efforts in these areas to achieve significant emission reductions.</w:t>
      </w:r>
    </w:p>
    <w:bookmarkStart w:id="48" w:name="recommendations"/>
    <w:p>
      <w:pPr>
        <w:pStyle w:val="Heading3"/>
      </w:pPr>
      <w:r>
        <w:t xml:space="preserve">Recommendations:</w:t>
      </w:r>
    </w:p>
    <w:p>
      <w:pPr>
        <w:numPr>
          <w:ilvl w:val="0"/>
          <w:numId w:val="1016"/>
        </w:numPr>
        <w:pStyle w:val="Compact"/>
      </w:pPr>
      <w:r>
        <w:rPr>
          <w:bCs/>
          <w:b/>
        </w:rPr>
        <w:t xml:space="preserve">Optimize Downstream Logistics:</w:t>
      </w:r>
      <w:r>
        <w:t xml:space="preserve"> </w:t>
      </w:r>
      <w:r>
        <w:t xml:space="preserve">Investigate and implement more carbon-efficient last-mile delivery solutions. This could include consolidating shipments, optimizing delivery routes, partnering with low-emission logistics providers, or encouraging customer pick-up options. Re-evaluate the allocation method for last-mile delivery to ensure it accurately reflects the product\'s share of vehicle emissions.</w:t>
      </w:r>
    </w:p>
    <w:p>
      <w:pPr>
        <w:numPr>
          <w:ilvl w:val="0"/>
          <w:numId w:val="1016"/>
        </w:numPr>
        <w:pStyle w:val="Compact"/>
      </w:pPr>
      <w:r>
        <w:rPr>
          <w:bCs/>
          <w:b/>
        </w:rPr>
        <w:t xml:space="preserve">Enhance Product Energy Efficiency:</w:t>
      </w:r>
      <w:r>
        <w:t xml:space="preserve"> </w:t>
      </w:r>
      <w:r>
        <w:t xml:space="preserve">Focus R&amp;D on reducing the energy consumption of pdzwrfjxmt during its use phase. This could involve more efficient components, power-saving modes, or longer product lifespans to amortize embodied emissions over more years of use.</w:t>
      </w:r>
    </w:p>
    <w:p>
      <w:pPr>
        <w:numPr>
          <w:ilvl w:val="0"/>
          <w:numId w:val="1016"/>
        </w:numPr>
        <w:pStyle w:val="Compact"/>
      </w:pPr>
      <w:r>
        <w:rPr>
          <w:bCs/>
          <w:b/>
        </w:rPr>
        <w:t xml:space="preserve">Sustainable Material Sourcing:</w:t>
      </w:r>
      <w:r>
        <w:t xml:space="preserve"> </w:t>
      </w:r>
      <w:r>
        <w:t xml:space="preserve">Continue to explore and implement sourcing strategies for lower-impact materials, particularly for components like PCBs, batteries, and plastics, given their significant embodied carbon. Engage with suppliers to improve their own sustainability performance (Scope 3, Category 1).</w:t>
      </w:r>
    </w:p>
    <w:p>
      <w:pPr>
        <w:numPr>
          <w:ilvl w:val="0"/>
          <w:numId w:val="1016"/>
        </w:numPr>
        <w:pStyle w:val="Compact"/>
      </w:pPr>
      <w:r>
        <w:rPr>
          <w:bCs/>
          <w:b/>
        </w:rPr>
        <w:t xml:space="preserve">Strengthen Circular Economy Initiatives:</w:t>
      </w:r>
      <w:r>
        <w:t xml:space="preserve"> </w:t>
      </w:r>
      <w:r>
        <w:t xml:space="preserve">Expand and promote take-back and refurbishment programs (`mfwvewigfv`) to maximize material recovery and reuse, further reducing the reliance on virgin materials and providing additional end-of-life benefits.</w:t>
      </w:r>
    </w:p>
    <w:p>
      <w:pPr>
        <w:numPr>
          <w:ilvl w:val="0"/>
          <w:numId w:val="1016"/>
        </w:numPr>
        <w:pStyle w:val="Compact"/>
      </w:pPr>
      <w:r>
        <w:rPr>
          <w:bCs/>
          <w:b/>
        </w:rPr>
        <w:t xml:space="preserve">Monitor and Refine Data:</w:t>
      </w:r>
      <w:r>
        <w:t xml:space="preserve"> </w:t>
      </w:r>
      <w:r>
        <w:t xml:space="preserve">Continuously collect primary data for all parameters (BOM, energy consumption, transport distances, etc.) to improve the accuracy of future PCF assessments and identify emerging hotspots.</w:t>
      </w:r>
    </w:p>
    <w:p>
      <w:r>
        <w:pict>
          <v:rect style="width:0;height:1.5pt" o:hralign="center" o:hrstd="t" o:hr="t"/>
        </w:pic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pdzwrfjxmt</dc:title>
  <dc:creator/>
  <dc:description>Detailed Product Carbon Footprint (PCF) analysis report for pdzwrfjxmt by gffwzxvdet, following GHG Protocol standards and 2026 LSR update guidelines.</dc:description>
  <dc:language>en</dc:language>
  <cp:keywords/>
  <dcterms:created xsi:type="dcterms:W3CDTF">2026-05-30T18:36:21Z</dcterms:created>
  <dcterms:modified xsi:type="dcterms:W3CDTF">2026-05-30T18:36:21Z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