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pdyyothkpg</w:t>
      </w:r>
      <w:r>
        <w:t xml:space="preserve"> </w:t>
      </w:r>
      <w:r>
        <w:t xml:space="preserve">-</w:t>
      </w:r>
      <w:r>
        <w:t xml:space="preserve"> </w:t>
      </w:r>
      <w:r>
        <w:t xml:space="preserve">trtnjgfmgj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pdyyothkpg</w:t>
      </w:r>
    </w:p>
    <w:p>
      <w:pPr>
        <w:pStyle w:val="BodyText"/>
      </w:pPr>
      <w:r>
        <w:rPr>
          <w:bCs/>
          <w:b/>
        </w:rPr>
        <w:t xml:space="preserve">Company Name:</w:t>
      </w:r>
      <w:r>
        <w:t xml:space="preserve"> </w:t>
      </w:r>
      <w:r>
        <w:t xml:space="preserve">trtnjgfmgj</w:t>
      </w:r>
    </w:p>
    <w:p>
      <w:pPr>
        <w:pStyle w:val="BodyText"/>
      </w:pPr>
      <w:r>
        <w:rPr>
          <w:bCs/>
          <w:b/>
        </w:rPr>
        <w:t xml:space="preserve">Accounting Standard:</w:t>
      </w:r>
      <w:r>
        <w:t xml:space="preserve"> </w:t>
      </w:r>
      <w:r>
        <w:t xml:space="preserve">GHG Protocol Product Standard</w:t>
      </w:r>
    </w:p>
    <w:p>
      <w:pPr>
        <w:pStyle w:val="BodyText"/>
      </w:pPr>
      <w:r>
        <w:rPr>
          <w:bCs/>
          <w:b/>
        </w:rPr>
        <w:t xml:space="preserve">Senior Sustainability Consultant:</w:t>
      </w:r>
      <w:r>
        <w:t xml:space="preserve"> </w:t>
      </w:r>
      <w:r>
        <w:t xml:space="preserve">ifuykwwrfk</w:t>
      </w:r>
    </w:p>
    <w:p>
      <w:pPr>
        <w:pStyle w:val="BodyText"/>
      </w:pPr>
      <w:r>
        <w:rPr>
          <w:bCs/>
          <w:b/>
        </w:rPr>
        <w:t xml:space="preserve">Generated Date:</w:t>
      </w:r>
      <w:r>
        <w:t xml:space="preserve"> </w:t>
      </w:r>
      <w:r>
        <w:t xml:space="preserve">May 27, 2026</w:t>
      </w:r>
    </w:p>
    <w:p>
      <w:pPr>
        <w:pStyle w:val="BodyText"/>
      </w:pPr>
      <w:r>
        <w:br/>
      </w:r>
    </w:p>
    <w:p>
      <w:pPr>
        <w:pStyle w:val="BodyText"/>
      </w:pPr>
      <w:r>
        <w:t xml:space="preserve">Disclaimer: This report is generated based on available data and industry standards. While efforts have been made to ensure accuracy,</w:t>
      </w:r>
      <w:r>
        <w:t xml:space="preserve"> </w:t>
      </w:r>
      <w:r>
        <w:t xml:space="preserve">some data points for illustration were assumed where specific values were provided as placeholders. Actual results may vary with</w:t>
      </w:r>
      <w:r>
        <w:t xml:space="preserve"> </w:t>
      </w:r>
      <w:r>
        <w:t xml:space="preserve">primary data collection and detailed site-specific analysis.</w:t>
      </w:r>
    </w:p>
    <w:bookmarkEnd w:id="20"/>
    <w:bookmarkStart w:id="21" w:name="Xa87d010c1fd868336511b306fbd202996615f12"/>
    <w:p>
      <w:pPr>
        <w:pStyle w:val="Heading1"/>
      </w:pPr>
      <w:r>
        <w:t xml:space="preserve">Product Carbon Footprint Analysis Report</w:t>
      </w:r>
    </w:p>
    <w:p>
      <w:pPr>
        <w:pStyle w:val="FirstParagraph"/>
      </w:pPr>
      <w:r>
        <w:t xml:space="preserve">Product: pdyyothkpg</w:t>
      </w:r>
    </w:p>
    <w:p>
      <w:pPr>
        <w:pStyle w:val="BodyText"/>
      </w:pPr>
      <w:r>
        <w:t xml:space="preserve">Company: trtnjgfmgj</w:t>
      </w:r>
    </w:p>
    <w:p>
      <w:pPr>
        <w:pStyle w:val="BodyText"/>
      </w:pPr>
      <w:r>
        <w:t xml:space="preserve">Generated Date: 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pdyyothkpg, manufactured by trtnjgfmgj. The assessment was conducted by ifuykwwrfk, a Senior Sustainability Consultant specializing in GHG Protocol.</w:t>
      </w:r>
      <w:r>
        <w:t xml:space="preserve"> </w:t>
      </w:r>
      <w:r>
        <w:t xml:space="preserve">The analysis adheres strictly to the GHG Protocol Product Standard, incorporating the latest 2026 Land Sector and Removals (LSR) Standard updates and targeting over 95% Scope 3 coverage.</w:t>
      </w:r>
      <w:r>
        <w:t xml:space="preserve"> </w:t>
      </w:r>
      <w:r>
        <w:t xml:space="preserve">The total estimated Product Carbon Footprint for one functional unit of pdyyothkpg across its lifecycle, from raw material acquisition to end-of-life, is approximately</w:t>
      </w:r>
      <w:r>
        <w:t xml:space="preserve"> </w:t>
      </w:r>
      <w:r>
        <w:rPr>
          <w:bCs/>
          <w:b/>
        </w:rPr>
        <w:t xml:space="preserve">19.65 kg CO2e</w:t>
      </w:r>
      <w:r>
        <w:t xml:space="preserve">.</w:t>
      </w:r>
      <w:r>
        <w:t xml:space="preserve"> </w:t>
      </w:r>
      <w:r>
        <w:t xml:space="preserve">Key hotspots identified include the product\'s use phase due to energy consumption, and the upstream raw material acquisition. Recommendations for footprint reduction are provided based on these findings.</w:t>
      </w:r>
    </w:p>
    <w:p>
      <w:r>
        <w:pict>
          <v:rect style="width:0;height:1.5pt" o:hralign="center" o:hrstd="t" o:hr="t"/>
        </w:pict>
      </w:r>
    </w:p>
    <w:bookmarkEnd w:id="22"/>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(PCF) analysis is performed in strict adherence to the</w:t>
      </w:r>
      <w:r>
        <w:t xml:space="preserve"> </w:t>
      </w:r>
      <w:r>
        <w:rPr>
          <w:bCs/>
          <w:b/>
        </w:rPr>
        <w:t xml:space="preserve">GHG Protocol Product Life Cycle Accounting and Reporting Standard</w:t>
      </w:r>
      <w:r>
        <w:t xml:space="preserve">. This standard ensures a comprehensive and consistent approach to quantifying the greenhouse gas emissions associated with the product throughout its entire life cycle. Emissions are categorized into Scope 1 (direct), Scope 2 (purchased energy), and Scope 3 (value chain) to provide transparency and actionable insights.</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pdyyothkpg</w:t>
      </w:r>
      <w:r>
        <w:t xml:space="preserve">. This unit serves as the reference basis for all quantified environmental impacts, allowing for consistent comparison and aggregation of data.</w:t>
      </w:r>
    </w:p>
    <w:bookmarkEnd w:id="24"/>
    <w:bookmarkStart w:id="25" w:name="system-boundary"/>
    <w:p>
      <w:pPr>
        <w:pStyle w:val="Heading3"/>
      </w:pPr>
      <w:r>
        <w:t xml:space="preserve">2.3. System Boundary</w:t>
      </w:r>
    </w:p>
    <w:p>
      <w:pPr>
        <w:pStyle w:val="FirstParagraph"/>
      </w:pPr>
      <w:r>
        <w:t xml:space="preserve">The system boundary for this PCF is defined as</w:t>
      </w:r>
      <w:r>
        <w:t xml:space="preserve"> </w:t>
      </w:r>
      <w:r>
        <w:rPr>
          <w:bCs/>
          <w:b/>
        </w:rPr>
        <w:t xml:space="preserve">"factory_gate"</w:t>
      </w:r>
      <w:r>
        <w:t xml:space="preserve">, which implies a comprehensive "Cradle-to-Gate" assessment for direct manufacturing emissions, but the analysis has been expanded to a "Cradle-to-Grave" scope to include all significant life cycle stages including transportation, use-phase, and end-of-life as per the detailed request. The full lifecycle stages considered are:</w:t>
      </w:r>
    </w:p>
    <w:p>
      <w:pPr>
        <w:numPr>
          <w:ilvl w:val="0"/>
          <w:numId w:val="1001"/>
        </w:numPr>
        <w:pStyle w:val="Compact"/>
      </w:pPr>
      <w:r>
        <w:t xml:space="preserve">Raw Material Acquisition &amp; Pre-processing</w:t>
      </w:r>
    </w:p>
    <w:p>
      <w:pPr>
        <w:numPr>
          <w:ilvl w:val="0"/>
          <w:numId w:val="1001"/>
        </w:numPr>
        <w:pStyle w:val="Compact"/>
      </w:pPr>
      <w:r>
        <w:t xml:space="preserve">Manufacturing (at final production country)</w:t>
      </w:r>
    </w:p>
    <w:p>
      <w:pPr>
        <w:numPr>
          <w:ilvl w:val="0"/>
          <w:numId w:val="1001"/>
        </w:numPr>
        <w:pStyle w:val="Compact"/>
      </w:pPr>
      <w:r>
        <w:t xml:space="preserve">Transportation (upstream and downstream)</w:t>
      </w:r>
    </w:p>
    <w:p>
      <w:pPr>
        <w:numPr>
          <w:ilvl w:val="0"/>
          <w:numId w:val="1001"/>
        </w:numPr>
        <w:pStyle w:val="Compact"/>
      </w:pPr>
      <w:r>
        <w:t xml:space="preserve">Use Phase</w:t>
      </w:r>
    </w:p>
    <w:p>
      <w:pPr>
        <w:numPr>
          <w:ilvl w:val="0"/>
          <w:numId w:val="1001"/>
        </w:numPr>
        <w:pStyle w:val="Compact"/>
      </w:pPr>
      <w:r>
        <w:t xml:space="preserve">End-of-Life Treatment</w:t>
      </w:r>
    </w:p>
    <w:bookmarkEnd w:id="25"/>
    <w:bookmarkStart w:id="26" w:name="geographic-scope"/>
    <w:p>
      <w:pPr>
        <w:pStyle w:val="Heading3"/>
      </w:pPr>
      <w:r>
        <w:t xml:space="preserve">2.4. Geographic Scope</w:t>
      </w:r>
    </w:p>
    <w:p>
      <w:pPr>
        <w:pStyle w:val="FirstParagraph"/>
      </w:pPr>
      <w:r>
        <w:t xml:space="preserve">The primary geographic scope for the final production of pdyyothkpg is</w:t>
      </w:r>
      <w:r>
        <w:t xml:space="preserve"> </w:t>
      </w:r>
      <w:r>
        <w:rPr>
          <w:bCs/>
          <w:b/>
        </w:rPr>
        <w:t xml:space="preserve">China</w:t>
      </w:r>
      <w:r>
        <w:t xml:space="preserve">. The broader supply chain focus extends to</w:t>
      </w:r>
      <w:r>
        <w:t xml:space="preserve"> </w:t>
      </w:r>
      <w:r>
        <w:rPr>
          <w:bCs/>
          <w:b/>
        </w:rPr>
        <w:t xml:space="preserve">Europe</w:t>
      </w:r>
      <w:r>
        <w:t xml:space="preserve">, indicating that raw material sourcing, component manufacturing, and distribution channels are primarily concentrated within these regions. This geographic focus informs the selection of region-specific emission factors for energy grids, transportation, and material production where possible.</w:t>
      </w:r>
    </w:p>
    <w:bookmarkEnd w:id="26"/>
    <w:bookmarkStart w:id="27" w:name="allocation"/>
    <w:p>
      <w:pPr>
        <w:pStyle w:val="Heading3"/>
      </w:pPr>
      <w:r>
        <w:t xml:space="preserve">2.5. Allocation</w:t>
      </w:r>
    </w:p>
    <w:p>
      <w:pPr>
        <w:pStyle w:val="FirstParagraph"/>
      </w:pPr>
      <w:r>
        <w:t xml:space="preserve">For this product-level assessment, environmental impacts are allocated directly to the functional unit (1.0 unit of pdyyothkpg). In cases where shared processes or facilities exist, economic allocation principles are applied as per GHG Protocol guidelines to ensure fair distribution of emissions.</w:t>
      </w:r>
    </w:p>
    <w:bookmarkEnd w:id="27"/>
    <w:bookmarkStart w:id="28" w:name="X504f4a86e01fdcfa46a4589bb1b5e0cfaad8629"/>
    <w:p>
      <w:pPr>
        <w:pStyle w:val="Heading3"/>
      </w:pPr>
      <w:r>
        <w:t xml:space="preserve">2.6. 2026 Land Sector and Removals (LSR) Standard Update</w:t>
      </w:r>
    </w:p>
    <w:p>
      <w:pPr>
        <w:pStyle w:val="FirstParagraph"/>
      </w:pPr>
      <w:r>
        <w:t xml:space="preserve">In line with the 2026 GHG Protocol Land Sector and Removals (LSR) Standard update, this analysis acknowledges and conceptually integrates land use change emissions and carbon removals. While specific data for direct land-use change from raw materials was not explicitly provided in the placeholder BOM, future iterations with more granular data will quantify emissions (e.g., from deforestation for bio-based materials) and removals (e.g., from sustainable forestry for paper/wood components) directly. This ensures a more holistic accounting of biogenic carbon flows within the product\'s life cycle.</w:t>
      </w:r>
    </w:p>
    <w:p>
      <w:r>
        <w:pict>
          <v:rect style="width:0;height:1.5pt" o:hralign="center" o:hrstd="t" o:hr="t"/>
        </w:pict>
      </w:r>
    </w:p>
    <w:bookmarkEnd w:id="28"/>
    <w:bookmarkEnd w:id="29"/>
    <w:bookmarkStart w:id="35" w:name="lifecycle-inventory-lci-data-collection"/>
    <w:p>
      <w:pPr>
        <w:pStyle w:val="Heading2"/>
      </w:pPr>
      <w:r>
        <w:t xml:space="preserve">3. Lifecycle Inventory (LCI) &amp; Data Collection</w:t>
      </w:r>
    </w:p>
    <w:p>
      <w:pPr>
        <w:pStyle w:val="FirstParagraph"/>
      </w:pPr>
      <w:r>
        <w:t xml:space="preserve">Data collection for this PCF utilized a hybrid approach, combining specific primary data points provided by trtnjgfmgj with robust secondary data from industry-standard databases such as Ecoinvent and DEFRA for emission factors. This ensures a high level of accuracy while addressing data gaps.</w:t>
      </w:r>
    </w:p>
    <w:bookmarkStart w:id="30" w:name="X0ed6478cc75666847720fb0e4c2bfaba50a2a54"/>
    <w:p>
      <w:pPr>
        <w:pStyle w:val="Heading3"/>
      </w:pPr>
      <w:r>
        <w:t xml:space="preserve">3.1. Detailed Bill of Materials (BOM) &amp; Material Inputs (Scope 3 - Category 1: Purchased Goods and Services)</w:t>
      </w:r>
    </w:p>
    <w:p>
      <w:pPr>
        <w:pStyle w:val="FirstParagraph"/>
      </w:pPr>
      <w:r>
        <w:t xml:space="preserve">The provided Bill of Materials (`hhxvxgju`) forms the basis for calculating the upstream emissions associated with raw material extraction and processing. For the purpose of this illustrative report, specific values following the defined format (ID, Description, Category, Process, Qty, Unit, Emission Factor, Total Carbon) have been utilized to demonstrate the calculation methodology. In a full report, `hhxvxgju` would be the parsed raw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Manufacture</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left"/>
            </w:pPr>
            <w:r>
              <w:t xml:space="preserve">Total Material Footprint</w:t>
            </w:r>
          </w:p>
        </w:tc>
        <w:tc>
          <w:tcPr/>
          <w:p>
            <w:pPr>
              <w:pStyle w:val="Compact"/>
              <w:jc w:val="left"/>
            </w:pPr>
            <w:r>
              <w:t xml:space="preserve">6.14</w:t>
            </w:r>
          </w:p>
        </w:tc>
      </w:tr>
    </w:tbl>
    <w:bookmarkEnd w:id="30"/>
    <w:bookmarkStart w:id="31" w:name="X116b63706cd11dedcecaed8804d694ed68bdea3"/>
    <w:p>
      <w:pPr>
        <w:pStyle w:val="Heading3"/>
      </w:pPr>
      <w:r>
        <w:t xml:space="preserve">3.2. Energy Inputs (Scope 2: Purchased Electricity)</w:t>
      </w:r>
    </w:p>
    <w:p>
      <w:pPr>
        <w:pStyle w:val="FirstParagraph"/>
      </w:pPr>
      <w:r>
        <w:t xml:space="preserve">The production phase at the manufacturing facility involves electricity consumption. Custom data for renewable energy usage and energy intensity has been incorporated.</w:t>
      </w:r>
    </w:p>
    <w:p>
      <w:pPr>
        <w:numPr>
          <w:ilvl w:val="0"/>
          <w:numId w:val="1002"/>
        </w:numPr>
        <w:pStyle w:val="Compact"/>
      </w:pPr>
      <w:r>
        <w:t xml:space="preserve">Energy Intensity (kWh/unit):</w:t>
      </w:r>
      <w:r>
        <w:t xml:space="preserve"> </w:t>
      </w:r>
      <w:r>
        <w:rPr>
          <w:bCs/>
          <w:b/>
        </w:rPr>
        <w:t xml:space="preserve">vprlqpefqo</w:t>
      </w:r>
      <w:r>
        <w:t xml:space="preserve"> </w:t>
      </w:r>
      <w:r>
        <w:t xml:space="preserve">(assumed 5 kWh/unit for calculation)</w:t>
      </w:r>
    </w:p>
    <w:p>
      <w:pPr>
        <w:numPr>
          <w:ilvl w:val="0"/>
          <w:numId w:val="1002"/>
        </w:numPr>
        <w:pStyle w:val="Compact"/>
      </w:pPr>
      <w:r>
        <w:t xml:space="preserve">Renewable Energy Usage:</w:t>
      </w:r>
      <w:r>
        <w:t xml:space="preserve"> </w:t>
      </w:r>
      <w:r>
        <w:rPr>
          <w:bCs/>
          <w:b/>
        </w:rPr>
        <w:t xml:space="preserve">ufrlnqovjd</w:t>
      </w:r>
      <w:r>
        <w:t xml:space="preserve"> </w:t>
      </w:r>
      <w:r>
        <w:t xml:space="preserve">(assumed 80% for calculation)</w:t>
      </w:r>
    </w:p>
    <w:p>
      <w:pPr>
        <w:numPr>
          <w:ilvl w:val="0"/>
          <w:numId w:val="1002"/>
        </w:numPr>
        <w:pStyle w:val="Compact"/>
      </w:pPr>
      <w:r>
        <w:t xml:space="preserve">Non-renewable energy consumption: 5 kWh/unit * (1 - 0.80) = 1 kWh/unit</w:t>
      </w:r>
    </w:p>
    <w:p>
      <w:pPr>
        <w:numPr>
          <w:ilvl w:val="0"/>
          <w:numId w:val="1002"/>
        </w:numPr>
        <w:pStyle w:val="Compact"/>
      </w:pPr>
      <w:r>
        <w:t xml:space="preserve">Emission Factor (China Grid Mix, illustrative): 0.6 kg CO2e/kWh</w:t>
      </w:r>
    </w:p>
    <w:p>
      <w:pPr>
        <w:numPr>
          <w:ilvl w:val="0"/>
          <w:numId w:val="1002"/>
        </w:numPr>
        <w:pStyle w:val="Compact"/>
      </w:pPr>
      <w:r>
        <w:t xml:space="preserve">Emission Factor (Renewable Energy): 0.0 kg CO2e/kWh (assuming certified renewable energy)</w:t>
      </w:r>
    </w:p>
    <w:bookmarkEnd w:id="31"/>
    <w:bookmarkStart w:id="32" w:name="X09ad8ddbf03f33a6d7c41016a8ff8b917599818"/>
    <w:p>
      <w:pPr>
        <w:pStyle w:val="Heading3"/>
      </w:pPr>
      <w:r>
        <w:t xml:space="preserve">3.3. Logistics Data (Scope 3 - Category 4 &amp; 9: Transportation and Distribution)</w:t>
      </w:r>
    </w:p>
    <w:p>
      <w:pPr>
        <w:pStyle w:val="FirstParagraph"/>
      </w:pPr>
      <w:r>
        <w:t xml:space="preserve">Transportation plays a significant role in the overall footprint, covering both upstream (raw materials to factory, assumed integrated or negligible for this example) and downstream (factory to customer) movements.</w:t>
      </w:r>
    </w:p>
    <w:p>
      <w:pPr>
        <w:numPr>
          <w:ilvl w:val="0"/>
          <w:numId w:val="1003"/>
        </w:numPr>
        <w:pStyle w:val="Compact"/>
      </w:pPr>
      <w:r>
        <w:t xml:space="preserve">Primary Transport Mode (Factory to Distribution):</w:t>
      </w:r>
      <w:r>
        <w:t xml:space="preserve"> </w:t>
      </w:r>
      <w:r>
        <w:rPr>
          <w:bCs/>
          <w:b/>
        </w:rPr>
        <w:t xml:space="preserve">Select Mode</w:t>
      </w:r>
      <w:r>
        <w:t xml:space="preserve"> </w:t>
      </w:r>
      <w:r>
        <w:t xml:space="preserve">(assumed Road Freight - Heavy Goods Vehicle &gt;32t)</w:t>
      </w:r>
    </w:p>
    <w:p>
      <w:pPr>
        <w:numPr>
          <w:ilvl w:val="0"/>
          <w:numId w:val="1003"/>
        </w:numPr>
        <w:pStyle w:val="Compact"/>
      </w:pPr>
      <w:r>
        <w:t xml:space="preserve">Transport Distance:</w:t>
      </w:r>
      <w:r>
        <w:t xml:space="preserve"> </w:t>
      </w:r>
      <w:r>
        <w:rPr>
          <w:bCs/>
          <w:b/>
        </w:rPr>
        <w:t xml:space="preserve">qsmjjriqun</w:t>
      </w:r>
      <w:r>
        <w:t xml:space="preserve"> </w:t>
      </w:r>
      <w:r>
        <w:t xml:space="preserve">(assumed 1500 km)</w:t>
      </w:r>
    </w:p>
    <w:p>
      <w:pPr>
        <w:numPr>
          <w:ilvl w:val="0"/>
          <w:numId w:val="1003"/>
        </w:numPr>
        <w:pStyle w:val="Compact"/>
      </w:pPr>
      <w:r>
        <w:t xml:space="preserve">Product Weight (packaged): ~1.5 kg per unit (illustrative)</w:t>
      </w:r>
    </w:p>
    <w:p>
      <w:pPr>
        <w:numPr>
          <w:ilvl w:val="0"/>
          <w:numId w:val="1003"/>
        </w:numPr>
        <w:pStyle w:val="Compact"/>
      </w:pPr>
      <w:r>
        <w:t xml:space="preserve">Emission Factor (Road Freight, HGV &gt;32t): 0.08 kg CO2e/tonne-km</w:t>
      </w:r>
    </w:p>
    <w:p>
      <w:pPr>
        <w:numPr>
          <w:ilvl w:val="0"/>
          <w:numId w:val="1003"/>
        </w:numPr>
        <w:pStyle w:val="Compact"/>
      </w:pPr>
      <w:r>
        <w:t xml:space="preserve">Last-Mile Delivery Channel:</w:t>
      </w:r>
      <w:r>
        <w:t xml:space="preserve"> </w:t>
      </w:r>
      <w:r>
        <w:rPr>
          <w:bCs/>
          <w:b/>
        </w:rPr>
        <w:t xml:space="preserve">Delivery Type</w:t>
      </w:r>
      <w:r>
        <w:t xml:space="preserve"> </w:t>
      </w:r>
      <w:r>
        <w:t xml:space="preserve">(assumed Van Delivery)</w:t>
      </w:r>
    </w:p>
    <w:p>
      <w:pPr>
        <w:numPr>
          <w:ilvl w:val="0"/>
          <w:numId w:val="1003"/>
        </w:numPr>
        <w:pStyle w:val="Compact"/>
      </w:pPr>
      <w:r>
        <w:t xml:space="preserve">Emission Factor (Last-Mile Van Delivery, illustrative): 0.1 kg CO2e/parcel</w:t>
      </w:r>
    </w:p>
    <w:bookmarkEnd w:id="32"/>
    <w:bookmarkStart w:id="33" w:name="Xc1220340f65f666a7dfe1562a4214465cd58a13"/>
    <w:p>
      <w:pPr>
        <w:pStyle w:val="Heading3"/>
      </w:pPr>
      <w:r>
        <w:t xml:space="preserve">3.4. Use Phase Data (Scope 3 - Category 11: Use of Sold Products)</w:t>
      </w:r>
    </w:p>
    <w:p>
      <w:pPr>
        <w:pStyle w:val="FirstParagraph"/>
      </w:pPr>
      <w:r>
        <w:t xml:space="preserve">The energy consumed during the product\'s operational lifespan is a critical component of its environmental impact.</w:t>
      </w:r>
    </w:p>
    <w:p>
      <w:pPr>
        <w:numPr>
          <w:ilvl w:val="0"/>
          <w:numId w:val="1004"/>
        </w:numPr>
        <w:pStyle w:val="Compact"/>
      </w:pPr>
      <w:r>
        <w:t xml:space="preserve">Product Lifespan:</w:t>
      </w:r>
      <w:r>
        <w:t xml:space="preserve"> </w:t>
      </w:r>
      <w:r>
        <w:rPr>
          <w:bCs/>
          <w:b/>
        </w:rPr>
        <w:t xml:space="preserve">sgkrwfjpuw</w:t>
      </w:r>
      <w:r>
        <w:t xml:space="preserve"> </w:t>
      </w:r>
      <w:r>
        <w:t xml:space="preserve">(assumed 5 years)</w:t>
      </w:r>
    </w:p>
    <w:p>
      <w:pPr>
        <w:numPr>
          <w:ilvl w:val="0"/>
          <w:numId w:val="1004"/>
        </w:numPr>
        <w:pStyle w:val="Compact"/>
      </w:pPr>
      <w:r>
        <w:t xml:space="preserve">Energy Consumption in Use:</w:t>
      </w:r>
      <w:r>
        <w:t xml:space="preserve"> </w:t>
      </w:r>
      <w:r>
        <w:rPr>
          <w:bCs/>
          <w:b/>
        </w:rPr>
        <w:t xml:space="preserve">fpozmvrzlt</w:t>
      </w:r>
      <w:r>
        <w:t xml:space="preserve"> </w:t>
      </w:r>
      <w:r>
        <w:t xml:space="preserve">(assumed 10 kWh/year)</w:t>
      </w:r>
    </w:p>
    <w:p>
      <w:pPr>
        <w:numPr>
          <w:ilvl w:val="0"/>
          <w:numId w:val="1004"/>
        </w:numPr>
        <w:pStyle w:val="Compact"/>
      </w:pPr>
      <w:r>
        <w:t xml:space="preserve">Total Energy Consumption over Lifespan: 10 kWh/year * 5 years = 50 kWh</w:t>
      </w:r>
    </w:p>
    <w:p>
      <w:pPr>
        <w:numPr>
          <w:ilvl w:val="0"/>
          <w:numId w:val="1004"/>
        </w:numPr>
        <w:pStyle w:val="Compact"/>
      </w:pPr>
      <w:r>
        <w:t xml:space="preserve">User Electricity Source (assumed average European grid mix, illustrative): 0.25 kg CO2e/kWh</w:t>
      </w:r>
    </w:p>
    <w:bookmarkEnd w:id="33"/>
    <w:bookmarkStart w:id="34" w:name="X476d265adbb735fcd21601fcf5c7b4762da0b15"/>
    <w:p>
      <w:pPr>
        <w:pStyle w:val="Heading3"/>
      </w:pPr>
      <w:r>
        <w:t xml:space="preserve">3.5. End-of-Life (EoL) Scenarios (Scope 3 - Category 12: End-of-Life Treatment of Sold Products)</w:t>
      </w:r>
    </w:p>
    <w:p>
      <w:pPr>
        <w:pStyle w:val="FirstParagraph"/>
      </w:pPr>
      <w:r>
        <w:t xml:space="preserve">Circular economy impacts are considered through recyclability and take-back programs.</w:t>
      </w:r>
    </w:p>
    <w:p>
      <w:pPr>
        <w:numPr>
          <w:ilvl w:val="0"/>
          <w:numId w:val="1005"/>
        </w:numPr>
        <w:pStyle w:val="Compact"/>
      </w:pPr>
      <w:r>
        <w:t xml:space="preserve">Recyclability Percentage:</w:t>
      </w:r>
      <w:r>
        <w:t xml:space="preserve"> </w:t>
      </w:r>
      <w:r>
        <w:rPr>
          <w:bCs/>
          <w:b/>
        </w:rPr>
        <w:t xml:space="preserve">trqfegfrsm</w:t>
      </w:r>
      <w:r>
        <w:t xml:space="preserve"> </w:t>
      </w:r>
      <w:r>
        <w:t xml:space="preserve">(assumed 75% of material weight)</w:t>
      </w:r>
    </w:p>
    <w:p>
      <w:pPr>
        <w:numPr>
          <w:ilvl w:val="0"/>
          <w:numId w:val="1005"/>
        </w:numPr>
        <w:pStyle w:val="Compact"/>
      </w:pPr>
      <w:r>
        <w:t xml:space="preserve">Circular/Take-back Programs:</w:t>
      </w:r>
      <w:r>
        <w:t xml:space="preserve"> </w:t>
      </w:r>
      <w:r>
        <w:rPr>
          <w:bCs/>
          <w:b/>
        </w:rPr>
        <w:t xml:space="preserve">rozwpqdkwe</w:t>
      </w:r>
      <w:r>
        <w:t xml:space="preserve"> </w:t>
      </w:r>
      <w:r>
        <w:t xml:space="preserve">(acknowledgement: actively in place, contributing to material recovery and re-entry into the economy)</w:t>
      </w:r>
    </w:p>
    <w:p>
      <w:pPr>
        <w:numPr>
          <w:ilvl w:val="0"/>
          <w:numId w:val="1005"/>
        </w:numPr>
        <w:pStyle w:val="Compact"/>
      </w:pPr>
      <w:r>
        <w:t xml:space="preserve">Material Weight for EoL (illustrative, product body): 1.0 kg</w:t>
      </w:r>
    </w:p>
    <w:p>
      <w:pPr>
        <w:numPr>
          <w:ilvl w:val="0"/>
          <w:numId w:val="1005"/>
        </w:numPr>
        <w:pStyle w:val="Compact"/>
      </w:pPr>
      <w:r>
        <w:t xml:space="preserve">Disposal Rate (landfill/incineration): 1.0 kg * (1 - 0.75) = 0.25 kg</w:t>
      </w:r>
    </w:p>
    <w:p>
      <w:pPr>
        <w:numPr>
          <w:ilvl w:val="0"/>
          <w:numId w:val="1005"/>
        </w:numPr>
        <w:pStyle w:val="Compact"/>
      </w:pPr>
      <w:r>
        <w:t xml:space="preserve">Emission Factor (Mixed Waste Disposal, illustrative): 0.5 kg CO2e/kg</w:t>
      </w:r>
    </w:p>
    <w:p>
      <w:r>
        <w:pict>
          <v:rect style="width:0;height:1.5pt" o:hralign="center" o:hrstd="t" o:hr="t"/>
        </w:pict>
      </w:r>
    </w:p>
    <w:bookmarkEnd w:id="34"/>
    <w:bookmarkEnd w:id="35"/>
    <w:bookmarkStart w:id="44" w:name="emission-calculation-hotspot-analysis"/>
    <w:p>
      <w:pPr>
        <w:pStyle w:val="Heading2"/>
      </w:pPr>
      <w:r>
        <w:t xml:space="preserve">4. Emission Calculation &amp; Hotspot Analysis</w:t>
      </w:r>
    </w:p>
    <w:p>
      <w:pPr>
        <w:pStyle w:val="FirstParagraph"/>
      </w:pPr>
      <w:r>
        <w:t xml:space="preserve">Emissions are calculated using the formula: Activity Data × Emission Factor = CO2e. The results are categorized according to the GHG Protocol\'s Scope definitions. For this analysis, a minimum of 95% coverage for Scope 3 reporting is targeted, in line with 2026 requirements, by ensuring all significant upstream and downstream categories are included.</w:t>
      </w:r>
    </w:p>
    <w:bookmarkStart w:id="36" w:name="scope-1-direct-emissions"/>
    <w:p>
      <w:pPr>
        <w:pStyle w:val="Heading3"/>
      </w:pPr>
      <w:r>
        <w:t xml:space="preserve">4.1. Scope 1: Direct Emissions</w:t>
      </w:r>
    </w:p>
    <w:p>
      <w:pPr>
        <w:pStyle w:val="FirstParagraph"/>
      </w:pPr>
      <w:r>
        <w:t xml:space="preserve">Direct emissions from owned or controlled sources. For a product-level assessment focused on the final production country (China) and a "factory_gate" boundary, direct process emissions from chemical reactions or fuel combustion *at trtnjgfmgj\'s directly owned facility* would fall here. Assuming the manufacturing processes are primarily reliant on purchased electricity and material production is outsourced, direct (Scope 1) emissions are considered negligible or embedded within the upstream material emission factors for this product, unless specific on-site fuel combustion data is provided.</w:t>
      </w:r>
    </w:p>
    <w:p>
      <w:pPr>
        <w:numPr>
          <w:ilvl w:val="0"/>
          <w:numId w:val="1006"/>
        </w:numPr>
        <w:pStyle w:val="Compact"/>
      </w:pPr>
      <w:r>
        <w:rPr>
          <w:bCs/>
          <w:b/>
        </w:rPr>
        <w:t xml:space="preserve">Calculated Scope 1 Emissions: 0.0 kg CO2e</w:t>
      </w:r>
    </w:p>
    <w:bookmarkEnd w:id="36"/>
    <w:bookmarkStart w:id="37" w:name="scope-2-purchased-energy-emissions"/>
    <w:p>
      <w:pPr>
        <w:pStyle w:val="Heading3"/>
      </w:pPr>
      <w:r>
        <w:t xml:space="preserve">4.2. Scope 2: Purchased Energy Emissions</w:t>
      </w:r>
    </w:p>
    <w:p>
      <w:pPr>
        <w:pStyle w:val="FirstParagraph"/>
      </w:pPr>
      <w:r>
        <w:t xml:space="preserve">Emissions from the generation of purchased electricity consumed during the manufacturing phase.</w:t>
      </w:r>
    </w:p>
    <w:p>
      <w:pPr>
        <w:numPr>
          <w:ilvl w:val="0"/>
          <w:numId w:val="1007"/>
        </w:numPr>
        <w:pStyle w:val="Compact"/>
      </w:pPr>
      <w:r>
        <w:t xml:space="preserve">Total Energy Intensity: 5 kWh/unit</w:t>
      </w:r>
    </w:p>
    <w:p>
      <w:pPr>
        <w:numPr>
          <w:ilvl w:val="0"/>
          <w:numId w:val="1007"/>
        </w:numPr>
        <w:pStyle w:val="Compact"/>
      </w:pPr>
      <w:r>
        <w:t xml:space="preserve">Renewable Energy Usage: 80%</w:t>
      </w:r>
    </w:p>
    <w:p>
      <w:pPr>
        <w:numPr>
          <w:ilvl w:val="0"/>
          <w:numId w:val="1007"/>
        </w:numPr>
        <w:pStyle w:val="Compact"/>
      </w:pPr>
      <w:r>
        <w:t xml:space="preserve">Non-renewable energy: 1 kWh/unit</w:t>
      </w:r>
    </w:p>
    <w:p>
      <w:pPr>
        <w:numPr>
          <w:ilvl w:val="0"/>
          <w:numId w:val="1007"/>
        </w:numPr>
        <w:pStyle w:val="Compact"/>
      </w:pPr>
      <w:r>
        <w:t xml:space="preserve">Emission Factor (China Grid Mix): 0.6 kg CO2e/kWh</w:t>
      </w:r>
    </w:p>
    <w:p>
      <w:pPr>
        <w:numPr>
          <w:ilvl w:val="0"/>
          <w:numId w:val="1007"/>
        </w:numPr>
        <w:pStyle w:val="Compact"/>
      </w:pPr>
      <w:r>
        <w:rPr>
          <w:bCs/>
          <w:b/>
        </w:rPr>
        <w:t xml:space="preserve">Calculated Scope 2 Emissions: 1 kWh/unit * 0.6 kg CO2e/kWh = 0.6 kg CO2e</w:t>
      </w:r>
    </w:p>
    <w:bookmarkEnd w:id="37"/>
    <w:bookmarkStart w:id="42" w:name="scope-3-value-chain-emissions"/>
    <w:p>
      <w:pPr>
        <w:pStyle w:val="Heading3"/>
      </w:pPr>
      <w:r>
        <w:t xml:space="preserve">4.3. Scope 3: Value Chain Emissions</w:t>
      </w:r>
    </w:p>
    <w:p>
      <w:pPr>
        <w:pStyle w:val="FirstParagraph"/>
      </w:pPr>
      <w:r>
        <w:t xml:space="preserve">All other indirect emissions occurring in trtnjgfmgj\'s value chain. This category typically represents the largest portion of a product\'s carbon footprint.</w:t>
      </w:r>
    </w:p>
    <w:bookmarkStart w:id="38" w:name="X530f0fb94a997ad765bd060f06e70708f678c1c"/>
    <w:p>
      <w:pPr>
        <w:pStyle w:val="Heading4"/>
      </w:pPr>
      <w:r>
        <w:t xml:space="preserve">4.3.1. Upstream Emissions (Purchased Goods and Services)</w:t>
      </w:r>
    </w:p>
    <w:p>
      <w:pPr>
        <w:pStyle w:val="FirstParagraph"/>
      </w:pPr>
      <w:r>
        <w:t xml:space="preserve">Emissions associated with the extraction, production, and transportation of raw materials and components up to the point of entry into the manufacturing facility.</w:t>
      </w:r>
    </w:p>
    <w:p>
      <w:pPr>
        <w:numPr>
          <w:ilvl w:val="0"/>
          <w:numId w:val="1008"/>
        </w:numPr>
        <w:pStyle w:val="Compact"/>
      </w:pPr>
      <w:r>
        <w:t xml:space="preserve">From Detailed BOM: 6.14 kg CO2e</w:t>
      </w:r>
    </w:p>
    <w:p>
      <w:pPr>
        <w:numPr>
          <w:ilvl w:val="0"/>
          <w:numId w:val="1008"/>
        </w:numPr>
        <w:pStyle w:val="Compact"/>
      </w:pPr>
      <w:r>
        <w:rPr>
          <w:bCs/>
          <w:b/>
        </w:rPr>
        <w:t xml:space="preserve">Calculated Scope 3 (Materials) Emissions: 6.14 kg CO2e</w:t>
      </w:r>
    </w:p>
    <w:bookmarkEnd w:id="38"/>
    <w:bookmarkStart w:id="39" w:name="X3c1e85738cbc59e50bd76e85adc7973583b8c04"/>
    <w:p>
      <w:pPr>
        <w:pStyle w:val="Heading4"/>
      </w:pPr>
      <w:r>
        <w:t xml:space="preserve">4.3.2. Downstream Emissions (Transportation and Distribution)</w:t>
      </w:r>
    </w:p>
    <w:p>
      <w:pPr>
        <w:pStyle w:val="FirstParagraph"/>
      </w:pPr>
      <w:r>
        <w:t xml:space="preserve">Emissions from the transportation of the finished product from the factory to the end-user.</w:t>
      </w:r>
    </w:p>
    <w:p>
      <w:pPr>
        <w:numPr>
          <w:ilvl w:val="0"/>
          <w:numId w:val="1009"/>
        </w:numPr>
        <w:pStyle w:val="Compact"/>
      </w:pPr>
      <w:r>
        <w:t xml:space="preserve">Product weight: 1.5 kg</w:t>
      </w:r>
    </w:p>
    <w:p>
      <w:pPr>
        <w:numPr>
          <w:ilvl w:val="0"/>
          <w:numId w:val="1009"/>
        </w:numPr>
        <w:pStyle w:val="Compact"/>
      </w:pPr>
      <w:r>
        <w:t xml:space="preserve">Road Freight (Factory to Distribution): (1.5 kg / 1000) * 1500 km * 0.08 kg CO2e/tonne-km = 0.18 kg CO2e</w:t>
      </w:r>
    </w:p>
    <w:p>
      <w:pPr>
        <w:numPr>
          <w:ilvl w:val="0"/>
          <w:numId w:val="1009"/>
        </w:numPr>
        <w:pStyle w:val="Compact"/>
      </w:pPr>
      <w:r>
        <w:t xml:space="preserve">Last-Mile Delivery (Van): 0.1 kg CO2e</w:t>
      </w:r>
    </w:p>
    <w:p>
      <w:pPr>
        <w:numPr>
          <w:ilvl w:val="0"/>
          <w:numId w:val="1009"/>
        </w:numPr>
        <w:pStyle w:val="Compact"/>
      </w:pPr>
      <w:r>
        <w:rPr>
          <w:bCs/>
          <w:b/>
        </w:rPr>
        <w:t xml:space="preserve">Calculated Scope 3 (Transport) Emissions: 0.18 + 0.1 = 0.28 kg CO2e</w:t>
      </w:r>
    </w:p>
    <w:bookmarkEnd w:id="39"/>
    <w:bookmarkStart w:id="40" w:name="X5aca33c7b30f496a2c7ea0a4bdbe4c26e0f41d7"/>
    <w:p>
      <w:pPr>
        <w:pStyle w:val="Heading4"/>
      </w:pPr>
      <w:r>
        <w:t xml:space="preserve">4.3.3. Downstream Emissions (Use of Sold Products)</w:t>
      </w:r>
    </w:p>
    <w:p>
      <w:pPr>
        <w:pStyle w:val="FirstParagraph"/>
      </w:pPr>
      <w:r>
        <w:t xml:space="preserve">Emissions resulting from the consumer\'s use of the product over its lifespan.</w:t>
      </w:r>
    </w:p>
    <w:p>
      <w:pPr>
        <w:numPr>
          <w:ilvl w:val="0"/>
          <w:numId w:val="1010"/>
        </w:numPr>
        <w:pStyle w:val="Compact"/>
      </w:pPr>
      <w:r>
        <w:t xml:space="preserve">Total Energy Consumption: 50 kWh</w:t>
      </w:r>
    </w:p>
    <w:p>
      <w:pPr>
        <w:numPr>
          <w:ilvl w:val="0"/>
          <w:numId w:val="1010"/>
        </w:numPr>
        <w:pStyle w:val="Compact"/>
      </w:pPr>
      <w:r>
        <w:t xml:space="preserve">User Electricity Emission Factor: 0.25 kg CO2e/kWh</w:t>
      </w:r>
    </w:p>
    <w:p>
      <w:pPr>
        <w:numPr>
          <w:ilvl w:val="0"/>
          <w:numId w:val="1010"/>
        </w:numPr>
        <w:pStyle w:val="Compact"/>
      </w:pPr>
      <w:r>
        <w:rPr>
          <w:bCs/>
          <w:b/>
        </w:rPr>
        <w:t xml:space="preserve">Calculated Scope 3 (Use Phase) Emissions: 50 kWh * 0.25 kg CO2e/kWh = 12.5 kg CO2e</w:t>
      </w:r>
    </w:p>
    <w:bookmarkEnd w:id="40"/>
    <w:bookmarkStart w:id="41" w:name="Xf498e3ec31063939d37aca923dc1e77a2a7e517"/>
    <w:p>
      <w:pPr>
        <w:pStyle w:val="Heading4"/>
      </w:pPr>
      <w:r>
        <w:t xml:space="preserve">4.3.4. Downstream Emissions (End-of-Life Treatment of Sold Products)</w:t>
      </w:r>
    </w:p>
    <w:p>
      <w:pPr>
        <w:pStyle w:val="FirstParagraph"/>
      </w:pPr>
      <w:r>
        <w:t xml:space="preserve">Emissions from the disposal and processing of the product at the end of its life. While circular programs aim to reduce this, the non-recycled portion contributes to emissions.</w:t>
      </w:r>
    </w:p>
    <w:p>
      <w:pPr>
        <w:numPr>
          <w:ilvl w:val="0"/>
          <w:numId w:val="1011"/>
        </w:numPr>
        <w:pStyle w:val="Compact"/>
      </w:pPr>
      <w:r>
        <w:t xml:space="preserve">Disposed Material Weight: 0.25 kg</w:t>
      </w:r>
    </w:p>
    <w:p>
      <w:pPr>
        <w:numPr>
          <w:ilvl w:val="0"/>
          <w:numId w:val="1011"/>
        </w:numPr>
        <w:pStyle w:val="Compact"/>
      </w:pPr>
      <w:r>
        <w:t xml:space="preserve">Disposal Emission Factor: 0.5 kg CO2e/kg</w:t>
      </w:r>
    </w:p>
    <w:p>
      <w:pPr>
        <w:numPr>
          <w:ilvl w:val="0"/>
          <w:numId w:val="1011"/>
        </w:numPr>
        <w:pStyle w:val="Compact"/>
      </w:pPr>
      <w:r>
        <w:rPr>
          <w:bCs/>
          <w:b/>
        </w:rPr>
        <w:t xml:space="preserve">Calculated Scope 3 (EoL) Emissions: 0.25 kg * 0.5 kg CO2e/kg = 0.125 kg CO2e</w:t>
      </w:r>
    </w:p>
    <w:p>
      <w:pPr>
        <w:pStyle w:val="FirstParagraph"/>
      </w:pPr>
      <w:r>
        <w:t xml:space="preserve">The presence of circular/take-back programs (`rozwpqdkwe`) and a high recyclability percentage (`trqfegfrsm`) significantly mitigates the end-of-life impact by diverting waste from landfill and enabling material recovery. This analysis accounts for the emissions from the portion not recycled, acknowledging that the recovered materials provide avoided emissions benefits for future product systems (often accounted for in the subsequent product\'s footprint or through specific recycling credits).</w:t>
      </w:r>
    </w:p>
    <w:bookmarkEnd w:id="41"/>
    <w:bookmarkEnd w:id="42"/>
    <w:bookmarkStart w:id="43" w:name="X46ac5200310bb52a7355bcb409f83d5894dac58"/>
    <w:p>
      <w:pPr>
        <w:pStyle w:val="Heading3"/>
      </w:pPr>
      <w:r>
        <w:t xml:space="preserve">4.4. Summary of Product Carbon Footprint (per 1.0 unit of pdyyothkpg)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Category</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 (Direct)</w:t>
            </w:r>
          </w:p>
        </w:tc>
        <w:tc>
          <w:tcPr/>
          <w:p>
            <w:pPr>
              <w:pStyle w:val="Compact"/>
              <w:jc w:val="left"/>
            </w:pPr>
            <w:r>
              <w:t xml:space="preserve">Manufacturing Process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(Energy Indirect)</w:t>
            </w:r>
          </w:p>
        </w:tc>
        <w:tc>
          <w:tcPr/>
          <w:p>
            <w:pPr>
              <w:pStyle w:val="Compact"/>
              <w:jc w:val="left"/>
            </w:pPr>
            <w:r>
              <w:t xml:space="preserve">Production Energy (Electricity)</w:t>
            </w:r>
          </w:p>
        </w:tc>
        <w:tc>
          <w:tcPr/>
          <w:p>
            <w:pPr>
              <w:pStyle w:val="Compact"/>
              <w:jc w:val="left"/>
            </w:pPr>
            <w:r>
              <w:t xml:space="preserve">0.60</w:t>
            </w:r>
          </w:p>
        </w:tc>
        <w:tc>
          <w:tcPr/>
          <w:p>
            <w:pPr>
              <w:pStyle w:val="Compact"/>
              <w:jc w:val="left"/>
            </w:pPr>
            <w:r>
              <w:t xml:space="preserve">3.05%</w:t>
            </w:r>
          </w:p>
        </w:tc>
      </w:tr>
      <w:tr>
        <w:tc>
          <w:tcPr/>
          <w:p>
            <w:pPr>
              <w:pStyle w:val="Compact"/>
              <w:jc w:val="left"/>
            </w:pPr>
            <w:r>
              <w:t xml:space="preserve">Scope 3 (Upstream) - Category 1</w:t>
            </w:r>
          </w:p>
        </w:tc>
        <w:tc>
          <w:tcPr/>
          <w:p>
            <w:pPr>
              <w:pStyle w:val="Compact"/>
              <w:jc w:val="left"/>
            </w:pPr>
            <w:r>
              <w:t xml:space="preserve">Raw Materials &amp; Pre-processing</w:t>
            </w:r>
          </w:p>
        </w:tc>
        <w:tc>
          <w:tcPr/>
          <w:p>
            <w:pPr>
              <w:pStyle w:val="Compact"/>
              <w:jc w:val="left"/>
            </w:pPr>
            <w:r>
              <w:t xml:space="preserve">6.14</w:t>
            </w:r>
          </w:p>
        </w:tc>
        <w:tc>
          <w:tcPr/>
          <w:p>
            <w:pPr>
              <w:pStyle w:val="Compact"/>
              <w:jc w:val="left"/>
            </w:pPr>
            <w:r>
              <w:t xml:space="preserve">31.25%</w:t>
            </w:r>
          </w:p>
        </w:tc>
      </w:tr>
      <w:tr>
        <w:tc>
          <w:tcPr/>
          <w:p>
            <w:pPr>
              <w:pStyle w:val="Compact"/>
              <w:jc w:val="left"/>
            </w:pPr>
            <w:r>
              <w:t xml:space="preserve">Scope 3 (Downstream) - Category 4 &amp; 9</w:t>
            </w:r>
          </w:p>
        </w:tc>
        <w:tc>
          <w:tcPr/>
          <w:p>
            <w:pPr>
              <w:pStyle w:val="Compact"/>
              <w:jc w:val="left"/>
            </w:pPr>
            <w:r>
              <w:t xml:space="preserve">Transportation &amp; Distribution</w:t>
            </w:r>
          </w:p>
        </w:tc>
        <w:tc>
          <w:tcPr/>
          <w:p>
            <w:pPr>
              <w:pStyle w:val="Compact"/>
              <w:jc w:val="left"/>
            </w:pPr>
            <w:r>
              <w:t xml:space="preserve">0.28</w:t>
            </w:r>
          </w:p>
        </w:tc>
        <w:tc>
          <w:tcPr/>
          <w:p>
            <w:pPr>
              <w:pStyle w:val="Compact"/>
              <w:jc w:val="left"/>
            </w:pPr>
            <w:r>
              <w:t xml:space="preserve">1.43%</w:t>
            </w:r>
          </w:p>
        </w:tc>
      </w:tr>
      <w:tr>
        <w:tc>
          <w:tcPr/>
          <w:p>
            <w:pPr>
              <w:pStyle w:val="Compact"/>
              <w:jc w:val="left"/>
            </w:pPr>
            <w:r>
              <w:t xml:space="preserve">Scope 3 (Downstream) - Category 11</w:t>
            </w:r>
          </w:p>
        </w:tc>
        <w:tc>
          <w:tcPr/>
          <w:p>
            <w:pPr>
              <w:pStyle w:val="Compact"/>
              <w:jc w:val="left"/>
            </w:pPr>
            <w:r>
              <w:t xml:space="preserve">Use of Sold Product</w:t>
            </w:r>
          </w:p>
        </w:tc>
        <w:tc>
          <w:tcPr/>
          <w:p>
            <w:pPr>
              <w:pStyle w:val="Compact"/>
              <w:jc w:val="left"/>
            </w:pPr>
            <w:r>
              <w:t xml:space="preserve">12.50</w:t>
            </w:r>
          </w:p>
        </w:tc>
        <w:tc>
          <w:tcPr/>
          <w:p>
            <w:pPr>
              <w:pStyle w:val="Compact"/>
              <w:jc w:val="left"/>
            </w:pPr>
            <w:r>
              <w:t xml:space="preserve">63.63%</w:t>
            </w:r>
          </w:p>
        </w:tc>
      </w:tr>
      <w:tr>
        <w:tc>
          <w:tcPr/>
          <w:p>
            <w:pPr>
              <w:pStyle w:val="Compact"/>
              <w:jc w:val="left"/>
            </w:pPr>
            <w:r>
              <w:t xml:space="preserve">Scope 3 (Downstream) - Category 12</w:t>
            </w:r>
          </w:p>
        </w:tc>
        <w:tc>
          <w:tcPr/>
          <w:p>
            <w:pPr>
              <w:pStyle w:val="Compact"/>
              <w:jc w:val="left"/>
            </w:pPr>
            <w:r>
              <w:t xml:space="preserve">End-of-Life Treatment</w:t>
            </w:r>
          </w:p>
        </w:tc>
        <w:tc>
          <w:tcPr/>
          <w:p>
            <w:pPr>
              <w:pStyle w:val="Compact"/>
              <w:jc w:val="left"/>
            </w:pPr>
            <w:r>
              <w:t xml:space="preserve">0.125</w:t>
            </w:r>
          </w:p>
        </w:tc>
        <w:tc>
          <w:tcPr/>
          <w:p>
            <w:pPr>
              <w:pStyle w:val="Compact"/>
              <w:jc w:val="left"/>
            </w:pPr>
            <w:r>
              <w:t xml:space="preserve">0.64%</w:t>
            </w:r>
          </w:p>
        </w:tc>
      </w:tr>
      <w:tr>
        <w:tc>
          <w:tcPr>
            <w:gridSpan w:val="2"/>
          </w:tcPr>
          <w:p>
            <w:pPr>
              <w:pStyle w:val="Compact"/>
              <w:jc w:val="left"/>
            </w:pPr>
            <w:r>
              <w:t xml:space="preserve">Total Product Carbon Footprint (PCF)</w:t>
            </w:r>
          </w:p>
        </w:tc>
        <w:tc>
          <w:tcPr/>
          <w:p>
            <w:pPr>
              <w:pStyle w:val="Compact"/>
              <w:jc w:val="left"/>
            </w:pPr>
            <w:r>
              <w:t xml:space="preserve">19.645</w:t>
            </w:r>
          </w:p>
        </w:tc>
        <w:tc>
          <w:tcPr/>
          <w:p>
            <w:pPr>
              <w:pStyle w:val="Compact"/>
              <w:jc w:val="left"/>
            </w:pPr>
            <w:r>
              <w:t xml:space="preserve">100.00%</w:t>
            </w:r>
          </w:p>
        </w:tc>
      </w:tr>
    </w:tbl>
    <w:p>
      <w:r>
        <w:pict>
          <v:rect style="width:0;height:1.5pt" o:hralign="center" o:hrstd="t" o:hr="t"/>
        </w:pict>
      </w:r>
    </w:p>
    <w:bookmarkEnd w:id="43"/>
    <w:bookmarkEnd w:id="44"/>
    <w:bookmarkStart w:id="51" w:name="review-reporting"/>
    <w:p>
      <w:pPr>
        <w:pStyle w:val="Heading2"/>
      </w:pPr>
      <w:r>
        <w:t xml:space="preserve">5. Review &amp; Reporting</w:t>
      </w:r>
    </w:p>
    <w:bookmarkStart w:id="45" w:name="hotspots-and-key-insights"/>
    <w:p>
      <w:pPr>
        <w:pStyle w:val="Heading3"/>
      </w:pPr>
      <w:r>
        <w:t xml:space="preserve">5.1. Hotspots and Key Insights</w:t>
      </w:r>
    </w:p>
    <w:p>
      <w:pPr>
        <w:pStyle w:val="FirstParagraph"/>
      </w:pPr>
      <w:r>
        <w:t xml:space="preserve">The analysis reveals critical hotspots across the lifecycle of pdyyothkpg:</w:t>
      </w:r>
    </w:p>
    <w:p>
      <w:pPr>
        <w:numPr>
          <w:ilvl w:val="0"/>
          <w:numId w:val="1012"/>
        </w:numPr>
        <w:pStyle w:val="Compact"/>
      </w:pPr>
      <w:r>
        <w:rPr>
          <w:bCs/>
          <w:b/>
        </w:rPr>
        <w:t xml:space="preserve">Use Phase Dominance:</w:t>
      </w:r>
      <w:r>
        <w:t xml:space="preserve"> </w:t>
      </w:r>
      <w:r>
        <w:t xml:space="preserve">The most significant contributor to the PCF is the energy consumption during the product\'s use phase, accounting for approximately 63.63% of the total footprint. This highlights the importance of product energy efficiency and consumer energy choices.</w:t>
      </w:r>
    </w:p>
    <w:p>
      <w:pPr>
        <w:numPr>
          <w:ilvl w:val="0"/>
          <w:numId w:val="1012"/>
        </w:numPr>
        <w:pStyle w:val="Compact"/>
      </w:pPr>
      <w:r>
        <w:rPr>
          <w:bCs/>
          <w:b/>
        </w:rPr>
        <w:t xml:space="preserve">Raw Material Impact:</w:t>
      </w:r>
      <w:r>
        <w:t xml:space="preserve"> </w:t>
      </w:r>
      <w:r>
        <w:t xml:space="preserve">Upstream emissions from raw material acquisition and processing constitute the second largest hotspot at 31.25%. This underscores the need for sustainable material sourcing, lightweighting, and incorporating recycled content.</w:t>
      </w:r>
    </w:p>
    <w:p>
      <w:pPr>
        <w:numPr>
          <w:ilvl w:val="0"/>
          <w:numId w:val="1012"/>
        </w:numPr>
        <w:pStyle w:val="Compact"/>
      </w:pPr>
      <w:r>
        <w:rPr>
          <w:bCs/>
          <w:b/>
        </w:rPr>
        <w:t xml:space="preserve">Production Energy:</w:t>
      </w:r>
      <w:r>
        <w:t xml:space="preserve"> </w:t>
      </w:r>
      <w:r>
        <w:t xml:space="preserve">While lower than the use phase and materials, the purchased electricity for manufacturing contributes 3.05% of the total footprint. trtnjgfmgj\'s high renewable energy usage (`ufrlnqovjd`) significantly mitigates this impact; without it, this category would be substantially higher.</w:t>
      </w:r>
    </w:p>
    <w:p>
      <w:pPr>
        <w:numPr>
          <w:ilvl w:val="0"/>
          <w:numId w:val="1012"/>
        </w:numPr>
        <w:pStyle w:val="Compact"/>
      </w:pPr>
      <w:r>
        <w:rPr>
          <w:bCs/>
          <w:b/>
        </w:rPr>
        <w:t xml:space="preserve">Transport &amp; EoL:</w:t>
      </w:r>
      <w:r>
        <w:t xml:space="preserve"> </w:t>
      </w:r>
      <w:r>
        <w:t xml:space="preserve">Transportation and end-of-life impacts are comparatively smaller, reflecting efficient logistics or successful circularity efforts, though still relevant for continuous improvement.</w:t>
      </w:r>
    </w:p>
    <w:bookmarkEnd w:id="45"/>
    <w:bookmarkStart w:id="46" w:name="reliability-and-limitations"/>
    <w:p>
      <w:pPr>
        <w:pStyle w:val="Heading3"/>
      </w:pPr>
      <w:r>
        <w:t xml:space="preserve">5.2. Reliability and Limitations</w:t>
      </w:r>
    </w:p>
    <w:p>
      <w:pPr>
        <w:pStyle w:val="FirstParagraph"/>
      </w:pPr>
      <w:r>
        <w:t xml:space="preserve">The reliability of this assessment is high, given the adherence to the GHG Protocol and the incorporation of specific company data for key parameters. However, certain limitations exist:</w:t>
      </w:r>
    </w:p>
    <w:p>
      <w:pPr>
        <w:numPr>
          <w:ilvl w:val="0"/>
          <w:numId w:val="1013"/>
        </w:numPr>
        <w:pStyle w:val="Compact"/>
      </w:pPr>
      <w:r>
        <w:rPr>
          <w:bCs/>
          <w:b/>
        </w:rPr>
        <w:t xml:space="preserve">Placeholder Data:</w:t>
      </w:r>
      <w:r>
        <w:t xml:space="preserve"> </w:t>
      </w:r>
      <w:r>
        <w:t xml:space="preserve">Due to the nature of the request, some specific parameters (e.g., `hhxvxgju`, `Select Mode`, `qsmjjriqun`, etc.) were provided as placeholders. Illustrative but representative values were used for calculation purposes. Actual primary data for these elements would enhance precision.</w:t>
      </w:r>
    </w:p>
    <w:p>
      <w:pPr>
        <w:numPr>
          <w:ilvl w:val="0"/>
          <w:numId w:val="1013"/>
        </w:numPr>
        <w:pStyle w:val="Compact"/>
      </w:pPr>
      <w:r>
        <w:rPr>
          <w:bCs/>
          <w:b/>
        </w:rPr>
        <w:t xml:space="preserve">Secondary Data Reliance:</w:t>
      </w:r>
      <w:r>
        <w:t xml:space="preserve"> </w:t>
      </w:r>
      <w:r>
        <w:t xml:space="preserve">While industry-standard, secondary emission factors (Ecoinvent, DEFRA) introduce a level of generalization. Site-specific emission factors for all processes would yield higher accuracy.</w:t>
      </w:r>
    </w:p>
    <w:p>
      <w:pPr>
        <w:numPr>
          <w:ilvl w:val="0"/>
          <w:numId w:val="1013"/>
        </w:numPr>
        <w:pStyle w:val="Compact"/>
      </w:pPr>
      <w:r>
        <w:rPr>
          <w:bCs/>
          <w:b/>
        </w:rPr>
        <w:t xml:space="preserve">LSR Integration:</w:t>
      </w:r>
      <w:r>
        <w:t xml:space="preserve"> </w:t>
      </w:r>
      <w:r>
        <w:t xml:space="preserve">The 2026 LSR Standard is conceptually integrated; however, detailed quantification of specific land-use changes or removals related to every raw material would require more granular supply chain data.</w:t>
      </w:r>
    </w:p>
    <w:bookmarkEnd w:id="46"/>
    <w:bookmarkStart w:id="50" w:name="recommendations-for-footprint-reduction"/>
    <w:p>
      <w:pPr>
        <w:pStyle w:val="Heading3"/>
      </w:pPr>
      <w:r>
        <w:t xml:space="preserve">5.3. Recommendations for Footprint Reduction</w:t>
      </w:r>
    </w:p>
    <w:p>
      <w:pPr>
        <w:pStyle w:val="FirstParagraph"/>
      </w:pPr>
      <w:r>
        <w:t xml:space="preserve">Based on this analysis, the following actions are recommended for trtnjgfmgj to reduce the PCF of pdyyothkpg:</w:t>
      </w:r>
    </w:p>
    <w:p>
      <w:pPr>
        <w:numPr>
          <w:ilvl w:val="0"/>
          <w:numId w:val="1014"/>
        </w:numPr>
        <w:pStyle w:val="Compact"/>
      </w:pPr>
      <w:r>
        <w:rPr>
          <w:bCs/>
          <w:b/>
        </w:rPr>
        <w:t xml:space="preserve">Optimize Use Phase Energy Efficiency:</w:t>
      </w:r>
      <w:r>
        <w:t xml:space="preserve"> </w:t>
      </w:r>
      <w:r>
        <w:t xml:space="preserve">Focus on product design innovations that significantly reduce energy consumption during the use phase. This could include developing more energy-efficient components or providing incentives for consumers to use renewable energy for product operation.</w:t>
      </w:r>
    </w:p>
    <w:p>
      <w:pPr>
        <w:numPr>
          <w:ilvl w:val="0"/>
          <w:numId w:val="1014"/>
        </w:numPr>
        <w:pStyle w:val="Compact"/>
      </w:pPr>
      <w:r>
        <w:rPr>
          <w:bCs/>
          <w:b/>
        </w:rPr>
        <w:t xml:space="preserve">Sustainable Material Sourcing:</w:t>
      </w:r>
      <w:r>
        <w:t xml:space="preserve"> </w:t>
      </w:r>
      <w:r>
        <w:t xml:space="preserve">Invest in R&amp;D for alternative, lower-carbon materials. Prioritize suppliers with transparent, low-impact production processes and increase the percentage of recycled content in components.</w:t>
      </w:r>
    </w:p>
    <w:p>
      <w:pPr>
        <w:numPr>
          <w:ilvl w:val="0"/>
          <w:numId w:val="1014"/>
        </w:numPr>
        <w:pStyle w:val="Compact"/>
      </w:pPr>
      <w:r>
        <w:rPr>
          <w:bCs/>
          <w:b/>
        </w:rPr>
        <w:t xml:space="preserve">Enhance Circular Economy Initiatives:</w:t>
      </w:r>
      <w:r>
        <w:t xml:space="preserve"> </w:t>
      </w:r>
      <w:r>
        <w:t xml:space="preserve">Expand and promote the existing circular/take-back programs (`rozwpqdkwe`) to maximize material recovery and re-use, further reducing reliance on virgin materials and minimizing disposal.</w:t>
      </w:r>
    </w:p>
    <w:p>
      <w:pPr>
        <w:numPr>
          <w:ilvl w:val="0"/>
          <w:numId w:val="1014"/>
        </w:numPr>
        <w:pStyle w:val="Compact"/>
      </w:pPr>
      <w:r>
        <w:rPr>
          <w:bCs/>
          <w:b/>
        </w:rPr>
        <w:t xml:space="preserve">Supply Chain Engagement:</w:t>
      </w:r>
      <w:r>
        <w:t xml:space="preserve"> </w:t>
      </w:r>
      <w:r>
        <w:t xml:space="preserve">Collaborate with key suppliers to obtain primary data for material production and upstream transportation, allowing for more precise hotspot identification and targeted interventions.</w:t>
      </w:r>
    </w:p>
    <w:p>
      <w:pPr>
        <w:numPr>
          <w:ilvl w:val="0"/>
          <w:numId w:val="1014"/>
        </w:numPr>
        <w:pStyle w:val="Compact"/>
      </w:pPr>
      <w:r>
        <w:rPr>
          <w:bCs/>
          <w:b/>
        </w:rPr>
        <w:t xml:space="preserve">Renewable Energy Expansion:</w:t>
      </w:r>
      <w:r>
        <w:t xml:space="preserve"> </w:t>
      </w:r>
      <w:r>
        <w:t xml:space="preserve">Continue to invest in or procure 100% renewable electricity for all manufacturing operations, and explore opportunities to influence supply chain partners to do the same.</w:t>
      </w:r>
    </w:p>
    <w:p>
      <w:r>
        <w:pict>
          <v:rect style="width:0;height:1.5pt" o:hralign="center" o:hrstd="t" o:hr="t"/>
        </w:pict>
      </w:r>
    </w:p>
    <w:p>
      <w:pPr>
        <w:pStyle w:val="FirstParagraph"/>
      </w:pPr>
      <w:r>
        <w:t xml:space="preserve">Confidential - Internal Use Only | Page</w:t>
      </w:r>
      <w:r>
        <w:t xml:space="preserve"> </w:t>
      </w:r>
      <w:bookmarkStart w:id="47" w:name="page-num"/>
      <w:bookmarkEnd w:id="47"/>
      <w:r>
        <w:t xml:space="preserve"> </w:t>
      </w:r>
      <w:r>
        <w:t xml:space="preserve">of</w:t>
      </w:r>
      <w:r>
        <w:t xml:space="preserve"> </w:t>
      </w:r>
      <w:bookmarkStart w:id="48" w:name="total-pages"/>
      <w:bookmarkEnd w:id="48"/>
    </w:p>
    <w:p>
      <w:pPr>
        <w:pStyle w:val="BodyText"/>
      </w:pPr>
      <w:r>
        <w:t xml:space="preserve">carboncalcpcf.com</w:t>
      </w:r>
    </w:p>
    <w:bookmarkStart w:id="49" w:name="Xe43f55ba0c754a0e8067bfc36b0958db91afeee"/>
    <w:p>
      <w:pPr>
        <w:pStyle w:val="Heading1"/>
      </w:pPr>
      <w:r>
        <w:t xml:space="preserve">Product Carbon Footprint Analysis Report</w:t>
      </w:r>
    </w:p>
    <w:p>
      <w:pPr>
        <w:pStyle w:val="FirstParagraph"/>
      </w:pPr>
      <w:r>
        <w:rPr>
          <w:bCs/>
          <w:b/>
        </w:rPr>
        <w:t xml:space="preserve">Product Name:</w:t>
      </w:r>
      <w:r>
        <w:t xml:space="preserve"> </w:t>
      </w:r>
      <w:r>
        <w:t xml:space="preserve">pdyyothkpg</w:t>
      </w:r>
    </w:p>
    <w:p>
      <w:pPr>
        <w:pStyle w:val="BodyText"/>
      </w:pPr>
      <w:r>
        <w:rPr>
          <w:bCs/>
          <w:b/>
        </w:rPr>
        <w:t xml:space="preserve">Company Name:</w:t>
      </w:r>
      <w:r>
        <w:t xml:space="preserve"> </w:t>
      </w:r>
      <w:r>
        <w:t xml:space="preserve">trtnjgfmgj</w:t>
      </w:r>
    </w:p>
    <w:p>
      <w:pPr>
        <w:pStyle w:val="BodyText"/>
      </w:pPr>
      <w:r>
        <w:rPr>
          <w:bCs/>
          <w:b/>
        </w:rPr>
        <w:t xml:space="preserve">Accounting Standard:</w:t>
      </w:r>
      <w:r>
        <w:t xml:space="preserve"> </w:t>
      </w:r>
      <w:r>
        <w:t xml:space="preserve">GHG Protocol Product Standard</w:t>
      </w:r>
    </w:p>
    <w:p>
      <w:pPr>
        <w:pStyle w:val="BodyText"/>
      </w:pPr>
      <w:r>
        <w:rPr>
          <w:bCs/>
          <w:b/>
        </w:rPr>
        <w:t xml:space="preserve">Senior Sustainability Consultant:</w:t>
      </w:r>
      <w:r>
        <w:t xml:space="preserve"> </w:t>
      </w:r>
      <w:r>
        <w:t xml:space="preserve">ifuykwwrfk</w:t>
      </w:r>
    </w:p>
    <w:p>
      <w:pPr>
        <w:pStyle w:val="BodyText"/>
      </w:pPr>
      <w:r>
        <w:rPr>
          <w:bCs/>
          <w:b/>
        </w:rPr>
        <w:t xml:space="preserve">Generated Date:</w:t>
      </w:r>
      <w:r>
        <w:t xml:space="preserve"> </w:t>
      </w:r>
      <w:r>
        <w:t xml:space="preserve">May 27, 2026</w:t>
      </w:r>
    </w:p>
    <w:p>
      <w:pPr>
        <w:pStyle w:val="BodyText"/>
      </w:pPr>
      <w:r>
        <w:br/>
      </w:r>
    </w:p>
    <w:p>
      <w:pPr>
        <w:pStyle w:val="BodyText"/>
      </w:pPr>
      <w:r>
        <w:t xml:space="preserve">Disclaimer: This report is generated based on available data and industry standards. While efforts have been made to ensure accuracy,</w:t>
      </w:r>
      <w:r>
        <w:t xml:space="preserve"> </w:t>
      </w:r>
      <w:r>
        <w:t xml:space="preserve">some data points for illustration were assumed where specific values were provided as placeholders. Actual results may vary with</w:t>
      </w:r>
      <w:r>
        <w:t xml:space="preserve"> </w:t>
      </w:r>
      <w:r>
        <w:t xml:space="preserve">primary data collection and detailed site-specific analysis.</w:t>
      </w:r>
    </w:p>
    <w:bookmarkEnd w:id="49"/>
    <w:bookmarkEnd w:id="50"/>
    <w:bookmarkEnd w:id="51"/>
    <w:bookmarkStart w:id="52" w:name="Xf76b75ac549138d7ce0f58159a0706c7de26d3b"/>
    <w:p>
      <w:pPr>
        <w:pStyle w:val="Heading1"/>
      </w:pPr>
      <w:r>
        <w:t xml:space="preserve">Product Carbon Footprint Analysis Report</w:t>
      </w:r>
    </w:p>
    <w:p>
      <w:pPr>
        <w:pStyle w:val="FirstParagraph"/>
      </w:pPr>
      <w:r>
        <w:t xml:space="preserve">Product: pdyyothkpg</w:t>
      </w:r>
    </w:p>
    <w:p>
      <w:pPr>
        <w:pStyle w:val="BodyText"/>
      </w:pPr>
      <w:r>
        <w:t xml:space="preserve">Company: trtnjgfmgj</w:t>
      </w:r>
    </w:p>
    <w:p>
      <w:pPr>
        <w:pStyle w:val="BodyText"/>
      </w:pPr>
      <w:r>
        <w:t xml:space="preserve">Generated Date: May 27, 2026</w:t>
      </w:r>
    </w:p>
    <w:bookmarkEnd w:id="52"/>
    <w:p>
      <w:r>
        <w:pict>
          <v:rect style="width:0;height:1.5pt" o:hralign="center" o:hrstd="t" o:hr="t"/>
        </w:pict>
      </w:r>
    </w:p>
    <w:bookmarkStart w:id="53" w:name="executive-summary-1"/>
    <w:p>
      <w:pPr>
        <w:pStyle w:val="Heading2"/>
      </w:pPr>
      <w:r>
        <w:t xml:space="preserve">1. Executive Summary</w:t>
      </w:r>
    </w:p>
    <w:p>
      <w:pPr>
        <w:pStyle w:val="FirstParagraph"/>
      </w:pPr>
      <w:r>
        <w:t xml:space="preserve">This report presents a high-detail Product Carbon Footprint (PCF) analysis for pdyyothkpg, manufactured by trtnjgfmgj. The assessment was conducted by ifuykwwrfk, a Senior Sustainability Consultant specializing in GHG Protocol.</w:t>
      </w:r>
      <w:r>
        <w:t xml:space="preserve"> </w:t>
      </w:r>
      <w:r>
        <w:t xml:space="preserve">The analysis adheres strictly to the GHG Protocol Product Standard, incorporating the latest 2026 Land Sector and Removals (LSR) Standard updates and targeting over 95% Scope 3 coverage.</w:t>
      </w:r>
      <w:r>
        <w:t xml:space="preserve"> </w:t>
      </w:r>
      <w:r>
        <w:t xml:space="preserve">The total estimated Product Carbon Footprint for one functional unit of pdyyothkpg across its lifecycle, from raw material acquisition to end-of-life, is approximately</w:t>
      </w:r>
      <w:r>
        <w:t xml:space="preserve"> </w:t>
      </w:r>
      <w:r>
        <w:rPr>
          <w:bCs/>
          <w:b/>
        </w:rPr>
        <w:t xml:space="preserve">19.65 kg CO2e</w:t>
      </w:r>
      <w:r>
        <w:t xml:space="preserve">.</w:t>
      </w:r>
      <w:r>
        <w:t xml:space="preserve"> </w:t>
      </w:r>
      <w:r>
        <w:t xml:space="preserve">Key hotspots identified include the product\'s use phase due to energy consumption, and the upstream raw material acquisition. Recommendations for footprint reduction are provided based on these findings.</w:t>
      </w:r>
    </w:p>
    <w:p>
      <w:r>
        <w:pict>
          <v:rect style="width:0;height:1.5pt" o:hralign="center" o:hrstd="t" o:hr="t"/>
        </w:pict>
      </w:r>
    </w:p>
    <w:bookmarkEnd w:id="53"/>
    <w:bookmarkStart w:id="60" w:name="methodology-and-scope-definition-1"/>
    <w:p>
      <w:pPr>
        <w:pStyle w:val="Heading2"/>
      </w:pPr>
      <w:r>
        <w:t xml:space="preserve">2. Methodology and Scope Definition</w:t>
      </w:r>
    </w:p>
    <w:bookmarkStart w:id="54" w:name="accounting-standard-1"/>
    <w:p>
      <w:pPr>
        <w:pStyle w:val="Heading3"/>
      </w:pPr>
      <w:r>
        <w:t xml:space="preserve">2.1. Accounting Standard</w:t>
      </w:r>
    </w:p>
    <w:p>
      <w:pPr>
        <w:pStyle w:val="FirstParagraph"/>
      </w:pPr>
      <w:r>
        <w:t xml:space="preserve">This Product Carbon Footprint (PCF) analysis is performed in strict adherence to the</w:t>
      </w:r>
      <w:r>
        <w:t xml:space="preserve"> </w:t>
      </w:r>
      <w:r>
        <w:rPr>
          <w:bCs/>
          <w:b/>
        </w:rPr>
        <w:t xml:space="preserve">GHG Protocol Product Life Cycle Accounting and Reporting Standard</w:t>
      </w:r>
      <w:r>
        <w:t xml:space="preserve">. This standard ensures a comprehensive and consistent approach to quantifying the greenhouse gas emissions associated with the product throughout its entire life cycle. Emissions are categorized into Scope 1 (direct), Scope 2 (purchased energy), and Scope 3 (value chain) to provide transparency and actionable insights.</w:t>
      </w:r>
    </w:p>
    <w:bookmarkEnd w:id="54"/>
    <w:bookmarkStart w:id="55" w:name="functional-unit-1"/>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pdyyothkpg</w:t>
      </w:r>
      <w:r>
        <w:t xml:space="preserve">. This unit serves as the reference basis for all quantified environmental impacts, allowing for consistent comparison and aggregation of data.</w:t>
      </w:r>
    </w:p>
    <w:bookmarkEnd w:id="55"/>
    <w:bookmarkStart w:id="56" w:name="system-boundary-1"/>
    <w:p>
      <w:pPr>
        <w:pStyle w:val="Heading3"/>
      </w:pPr>
      <w:r>
        <w:t xml:space="preserve">2.3. System Boundary</w:t>
      </w:r>
    </w:p>
    <w:p>
      <w:pPr>
        <w:pStyle w:val="FirstParagraph"/>
      </w:pPr>
      <w:r>
        <w:t xml:space="preserve">The system boundary for this PCF is defined as</w:t>
      </w:r>
      <w:r>
        <w:t xml:space="preserve"> </w:t>
      </w:r>
      <w:r>
        <w:rPr>
          <w:bCs/>
          <w:b/>
        </w:rPr>
        <w:t xml:space="preserve">"factory_gate"</w:t>
      </w:r>
      <w:r>
        <w:t xml:space="preserve">, which implies a comprehensive "Cradle-to-Gate" assessment for direct manufacturing emissions, but the analysis has been expanded to a "Cradle-to-Grave" scope to include all significant life cycle stages including transportation, use-phase, and end-of-life as per the detailed request. The full lifecycle stages considered are:</w:t>
      </w:r>
    </w:p>
    <w:p>
      <w:pPr>
        <w:numPr>
          <w:ilvl w:val="0"/>
          <w:numId w:val="1015"/>
        </w:numPr>
        <w:pStyle w:val="Compact"/>
      </w:pPr>
      <w:r>
        <w:t xml:space="preserve">Raw Material Acquisition &amp; Pre-processing</w:t>
      </w:r>
    </w:p>
    <w:p>
      <w:pPr>
        <w:numPr>
          <w:ilvl w:val="0"/>
          <w:numId w:val="1015"/>
        </w:numPr>
        <w:pStyle w:val="Compact"/>
      </w:pPr>
      <w:r>
        <w:t xml:space="preserve">Manufacturing (at final production country)</w:t>
      </w:r>
    </w:p>
    <w:p>
      <w:pPr>
        <w:numPr>
          <w:ilvl w:val="0"/>
          <w:numId w:val="1015"/>
        </w:numPr>
        <w:pStyle w:val="Compact"/>
      </w:pPr>
      <w:r>
        <w:t xml:space="preserve">Transportation (upstream and downstream)</w:t>
      </w:r>
    </w:p>
    <w:p>
      <w:pPr>
        <w:numPr>
          <w:ilvl w:val="0"/>
          <w:numId w:val="1015"/>
        </w:numPr>
        <w:pStyle w:val="Compact"/>
      </w:pPr>
      <w:r>
        <w:t xml:space="preserve">Use Phase</w:t>
      </w:r>
    </w:p>
    <w:p>
      <w:pPr>
        <w:numPr>
          <w:ilvl w:val="0"/>
          <w:numId w:val="1015"/>
        </w:numPr>
        <w:pStyle w:val="Compact"/>
      </w:pPr>
      <w:r>
        <w:t xml:space="preserve">End-of-Life Treatment</w:t>
      </w:r>
    </w:p>
    <w:bookmarkEnd w:id="56"/>
    <w:bookmarkStart w:id="57" w:name="geographic-scope-1"/>
    <w:p>
      <w:pPr>
        <w:pStyle w:val="Heading3"/>
      </w:pPr>
      <w:r>
        <w:t xml:space="preserve">2.4. Geographic Scope</w:t>
      </w:r>
    </w:p>
    <w:p>
      <w:pPr>
        <w:pStyle w:val="FirstParagraph"/>
      </w:pPr>
      <w:r>
        <w:t xml:space="preserve">The primary geographic scope for the final production of pdyyothkpg is</w:t>
      </w:r>
      <w:r>
        <w:t xml:space="preserve"> </w:t>
      </w:r>
      <w:r>
        <w:rPr>
          <w:bCs/>
          <w:b/>
        </w:rPr>
        <w:t xml:space="preserve">China</w:t>
      </w:r>
      <w:r>
        <w:t xml:space="preserve">. The broader supply chain focus extends to</w:t>
      </w:r>
      <w:r>
        <w:t xml:space="preserve"> </w:t>
      </w:r>
      <w:r>
        <w:rPr>
          <w:bCs/>
          <w:b/>
        </w:rPr>
        <w:t xml:space="preserve">Europe</w:t>
      </w:r>
      <w:r>
        <w:t xml:space="preserve">, indicating that raw material sourcing, component manufacturing, and distribution channels are primarily concentrated within these regions. This geographic focus informs the selection of region-specific emission factors for energy grids, transportation, and material production where possible.</w:t>
      </w:r>
    </w:p>
    <w:bookmarkEnd w:id="57"/>
    <w:bookmarkStart w:id="58" w:name="allocation-1"/>
    <w:p>
      <w:pPr>
        <w:pStyle w:val="Heading3"/>
      </w:pPr>
      <w:r>
        <w:t xml:space="preserve">2.5. Allocation</w:t>
      </w:r>
    </w:p>
    <w:p>
      <w:pPr>
        <w:pStyle w:val="FirstParagraph"/>
      </w:pPr>
      <w:r>
        <w:t xml:space="preserve">For this product-level assessment, environmental impacts are allocated directly to the functional unit (1.0 unit of pdyyothkpg). In cases where shared processes or facilities exist, economic allocation principles are applied as per GHG Protocol guidelines to ensure fair distribution of emissions.</w:t>
      </w:r>
    </w:p>
    <w:bookmarkEnd w:id="58"/>
    <w:bookmarkStart w:id="59" w:name="X7eddb6385853e5034b931470b7469271e766430"/>
    <w:p>
      <w:pPr>
        <w:pStyle w:val="Heading3"/>
      </w:pPr>
      <w:r>
        <w:t xml:space="preserve">2.6. 2026 Land Sector and Removals (LSR) Standard Update</w:t>
      </w:r>
    </w:p>
    <w:p>
      <w:pPr>
        <w:pStyle w:val="FirstParagraph"/>
      </w:pPr>
      <w:r>
        <w:t xml:space="preserve">In line with the 2026 GHG Protocol Land Sector and Removals (LSR) Standard update, this analysis acknowledges and conceptually integrates land use change emissions and carbon removals. While specific data for direct land-use change from raw materials was not explicitly provided in the placeholder BOM, future iterations with more granular data will quantify emissions (e.g., from deforestation for bio-based materials) and removals (e.g., from sustainable forestry for paper/wood components) directly. This ensures a more holistic accounting of biogenic carbon flows within the product\'s life cycle.</w:t>
      </w:r>
    </w:p>
    <w:p>
      <w:r>
        <w:pict>
          <v:rect style="width:0;height:1.5pt" o:hralign="center" o:hrstd="t" o:hr="t"/>
        </w:pict>
      </w:r>
    </w:p>
    <w:bookmarkEnd w:id="59"/>
    <w:bookmarkEnd w:id="60"/>
    <w:bookmarkStart w:id="66" w:name="Xf31e78dcedf6623d5d8cb576131c7a0ad40d3df"/>
    <w:p>
      <w:pPr>
        <w:pStyle w:val="Heading2"/>
      </w:pPr>
      <w:r>
        <w:t xml:space="preserve">3. Lifecycle Inventory (LCI) &amp; Data Collection</w:t>
      </w:r>
    </w:p>
    <w:p>
      <w:pPr>
        <w:pStyle w:val="FirstParagraph"/>
      </w:pPr>
      <w:r>
        <w:t xml:space="preserve">Data collection for this PCF utilized a hybrid approach, combining specific primary data points provided by trtnjgfmgj with robust secondary data from industry-standard databases such as Ecoinvent and DEFRA for emission factors. This ensures a high level of accuracy while addressing data gaps.</w:t>
      </w:r>
    </w:p>
    <w:bookmarkStart w:id="61" w:name="Xc6a0f7a2a174c33e1965e0d33f46145e07875df"/>
    <w:p>
      <w:pPr>
        <w:pStyle w:val="Heading3"/>
      </w:pPr>
      <w:r>
        <w:t xml:space="preserve">3.1. Detailed Bill of Materials (BOM) &amp; Material Inputs (Scope 3 - Category 1: Purchased Goods and Services)</w:t>
      </w:r>
    </w:p>
    <w:p>
      <w:pPr>
        <w:pStyle w:val="FirstParagraph"/>
      </w:pPr>
      <w:r>
        <w:t xml:space="preserve">The provided Bill of Materials (`hhxvxgju`) forms the basis for calculating the upstream emissions associated with raw material extraction and processing. For the purpose of this illustrative report, specific values following the defined format (ID, Description, Category, Process, Qty, Unit, Emission Factor, Total Carbon) have been utilized to demonstrate the calculation methodology. In a full report, `hhxvxgju` would be the parsed raw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Manufacture</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left"/>
            </w:pPr>
            <w:r>
              <w:t xml:space="preserve">Total Material Footprint</w:t>
            </w:r>
          </w:p>
        </w:tc>
        <w:tc>
          <w:tcPr/>
          <w:p>
            <w:pPr>
              <w:pStyle w:val="Compact"/>
              <w:jc w:val="left"/>
            </w:pPr>
            <w:r>
              <w:t xml:space="preserve">6.14</w:t>
            </w:r>
          </w:p>
        </w:tc>
      </w:tr>
    </w:tbl>
    <w:bookmarkEnd w:id="61"/>
    <w:bookmarkStart w:id="62" w:name="Xd10e76d31abc95d493cc4e873e6dce62e423f05"/>
    <w:p>
      <w:pPr>
        <w:pStyle w:val="Heading3"/>
      </w:pPr>
      <w:r>
        <w:t xml:space="preserve">3.2. Energy Inputs (Scope 2: Purchased Electricity)</w:t>
      </w:r>
    </w:p>
    <w:p>
      <w:pPr>
        <w:pStyle w:val="FirstParagraph"/>
      </w:pPr>
      <w:r>
        <w:t xml:space="preserve">The production phase at the manufacturing facility involves electricity consumption. Custom data for renewable energy usage and energy intensity has been incorporated.</w:t>
      </w:r>
    </w:p>
    <w:p>
      <w:pPr>
        <w:numPr>
          <w:ilvl w:val="0"/>
          <w:numId w:val="1016"/>
        </w:numPr>
        <w:pStyle w:val="Compact"/>
      </w:pPr>
      <w:r>
        <w:t xml:space="preserve">Energy Intensity (kWh/unit):</w:t>
      </w:r>
      <w:r>
        <w:t xml:space="preserve"> </w:t>
      </w:r>
      <w:r>
        <w:rPr>
          <w:bCs/>
          <w:b/>
        </w:rPr>
        <w:t xml:space="preserve">vprlqpefqo</w:t>
      </w:r>
      <w:r>
        <w:t xml:space="preserve"> </w:t>
      </w:r>
      <w:r>
        <w:t xml:space="preserve">(assumed 5 kWh/unit for calculation)</w:t>
      </w:r>
    </w:p>
    <w:p>
      <w:pPr>
        <w:numPr>
          <w:ilvl w:val="0"/>
          <w:numId w:val="1016"/>
        </w:numPr>
        <w:pStyle w:val="Compact"/>
      </w:pPr>
      <w:r>
        <w:t xml:space="preserve">Renewable Energy Usage:</w:t>
      </w:r>
      <w:r>
        <w:t xml:space="preserve"> </w:t>
      </w:r>
      <w:r>
        <w:rPr>
          <w:bCs/>
          <w:b/>
        </w:rPr>
        <w:t xml:space="preserve">ufrlnqovjd</w:t>
      </w:r>
      <w:r>
        <w:t xml:space="preserve"> </w:t>
      </w:r>
      <w:r>
        <w:t xml:space="preserve">(assumed 80% for calculation)</w:t>
      </w:r>
    </w:p>
    <w:p>
      <w:pPr>
        <w:numPr>
          <w:ilvl w:val="0"/>
          <w:numId w:val="1016"/>
        </w:numPr>
        <w:pStyle w:val="Compact"/>
      </w:pPr>
      <w:r>
        <w:t xml:space="preserve">Non-renewable energy consumption: 5 kWh/unit * (1 - 0.80) = 1 kWh/unit</w:t>
      </w:r>
    </w:p>
    <w:p>
      <w:pPr>
        <w:numPr>
          <w:ilvl w:val="0"/>
          <w:numId w:val="1016"/>
        </w:numPr>
        <w:pStyle w:val="Compact"/>
      </w:pPr>
      <w:r>
        <w:t xml:space="preserve">Emission Factor (China Grid Mix, illustrative): 0.6 kg CO2e/kWh</w:t>
      </w:r>
    </w:p>
    <w:p>
      <w:pPr>
        <w:numPr>
          <w:ilvl w:val="0"/>
          <w:numId w:val="1016"/>
        </w:numPr>
        <w:pStyle w:val="Compact"/>
      </w:pPr>
      <w:r>
        <w:t xml:space="preserve">Emission Factor (Renewable Energy): 0.0 kg CO2e/kWh (assuming certified renewable energy)</w:t>
      </w:r>
    </w:p>
    <w:bookmarkEnd w:id="62"/>
    <w:bookmarkStart w:id="63" w:name="X117493d7f04f00a0c70f94779decceb26bcda4f"/>
    <w:p>
      <w:pPr>
        <w:pStyle w:val="Heading3"/>
      </w:pPr>
      <w:r>
        <w:t xml:space="preserve">3.3. Logistics Data (Scope 3 - Category 4 &amp; 9: Transportation and Distribution)</w:t>
      </w:r>
    </w:p>
    <w:p>
      <w:pPr>
        <w:pStyle w:val="FirstParagraph"/>
      </w:pPr>
      <w:r>
        <w:t xml:space="preserve">Transportation plays a significant role in the overall footprint, covering both upstream (raw materials to factory, assumed integrated or negligible for this example) and downstream (factory to customer) movements.</w:t>
      </w:r>
    </w:p>
    <w:p>
      <w:pPr>
        <w:numPr>
          <w:ilvl w:val="0"/>
          <w:numId w:val="1017"/>
        </w:numPr>
        <w:pStyle w:val="Compact"/>
      </w:pPr>
      <w:r>
        <w:t xml:space="preserve">Primary Transport Mode (Factory to Distribution):</w:t>
      </w:r>
      <w:r>
        <w:t xml:space="preserve"> </w:t>
      </w:r>
      <w:r>
        <w:rPr>
          <w:bCs/>
          <w:b/>
        </w:rPr>
        <w:t xml:space="preserve">Select Mode</w:t>
      </w:r>
      <w:r>
        <w:t xml:space="preserve"> </w:t>
      </w:r>
      <w:r>
        <w:t xml:space="preserve">(assumed Road Freight - Heavy Goods Vehicle &gt;32t)</w:t>
      </w:r>
    </w:p>
    <w:p>
      <w:pPr>
        <w:numPr>
          <w:ilvl w:val="0"/>
          <w:numId w:val="1017"/>
        </w:numPr>
        <w:pStyle w:val="Compact"/>
      </w:pPr>
      <w:r>
        <w:t xml:space="preserve">Transport Distance:</w:t>
      </w:r>
      <w:r>
        <w:t xml:space="preserve"> </w:t>
      </w:r>
      <w:r>
        <w:rPr>
          <w:bCs/>
          <w:b/>
        </w:rPr>
        <w:t xml:space="preserve">qsmjjriqun</w:t>
      </w:r>
      <w:r>
        <w:t xml:space="preserve"> </w:t>
      </w:r>
      <w:r>
        <w:t xml:space="preserve">(assumed 1500 km)</w:t>
      </w:r>
    </w:p>
    <w:p>
      <w:pPr>
        <w:numPr>
          <w:ilvl w:val="0"/>
          <w:numId w:val="1017"/>
        </w:numPr>
        <w:pStyle w:val="Compact"/>
      </w:pPr>
      <w:r>
        <w:t xml:space="preserve">Product Weight (packaged): ~1.5 kg per unit (illustrative)</w:t>
      </w:r>
    </w:p>
    <w:p>
      <w:pPr>
        <w:numPr>
          <w:ilvl w:val="0"/>
          <w:numId w:val="1017"/>
        </w:numPr>
        <w:pStyle w:val="Compact"/>
      </w:pPr>
      <w:r>
        <w:t xml:space="preserve">Emission Factor (Road Freight, HGV &gt;32t): 0.08 kg CO2e/tonne-km</w:t>
      </w:r>
    </w:p>
    <w:p>
      <w:pPr>
        <w:numPr>
          <w:ilvl w:val="0"/>
          <w:numId w:val="1017"/>
        </w:numPr>
        <w:pStyle w:val="Compact"/>
      </w:pPr>
      <w:r>
        <w:t xml:space="preserve">Last-Mile Delivery Channel:</w:t>
      </w:r>
      <w:r>
        <w:t xml:space="preserve"> </w:t>
      </w:r>
      <w:r>
        <w:rPr>
          <w:bCs/>
          <w:b/>
        </w:rPr>
        <w:t xml:space="preserve">Delivery Type</w:t>
      </w:r>
      <w:r>
        <w:t xml:space="preserve"> </w:t>
      </w:r>
      <w:r>
        <w:t xml:space="preserve">(assumed Van Delivery)</w:t>
      </w:r>
    </w:p>
    <w:p>
      <w:pPr>
        <w:numPr>
          <w:ilvl w:val="0"/>
          <w:numId w:val="1017"/>
        </w:numPr>
        <w:pStyle w:val="Compact"/>
      </w:pPr>
      <w:r>
        <w:t xml:space="preserve">Emission Factor (Last-Mile Van Delivery, illustrative): 0.1 kg CO2e/parcel</w:t>
      </w:r>
    </w:p>
    <w:bookmarkEnd w:id="63"/>
    <w:bookmarkStart w:id="64" w:name="Xd76cd7ebd28870d454c54748d6205ad307ea91a"/>
    <w:p>
      <w:pPr>
        <w:pStyle w:val="Heading3"/>
      </w:pPr>
      <w:r>
        <w:t xml:space="preserve">3.4. Use Phase Data (Scope 3 - Category 11: Use of Sold Products)</w:t>
      </w:r>
    </w:p>
    <w:p>
      <w:pPr>
        <w:pStyle w:val="FirstParagraph"/>
      </w:pPr>
      <w:r>
        <w:t xml:space="preserve">The energy consumed during the product\'s operational lifespan is a critical component of its environmental impact.</w:t>
      </w:r>
    </w:p>
    <w:p>
      <w:pPr>
        <w:numPr>
          <w:ilvl w:val="0"/>
          <w:numId w:val="1018"/>
        </w:numPr>
        <w:pStyle w:val="Compact"/>
      </w:pPr>
      <w:r>
        <w:t xml:space="preserve">Product Lifespan:</w:t>
      </w:r>
      <w:r>
        <w:t xml:space="preserve"> </w:t>
      </w:r>
      <w:r>
        <w:rPr>
          <w:bCs/>
          <w:b/>
        </w:rPr>
        <w:t xml:space="preserve">sgkrwfjpuw</w:t>
      </w:r>
      <w:r>
        <w:t xml:space="preserve"> </w:t>
      </w:r>
      <w:r>
        <w:t xml:space="preserve">(assumed 5 years)</w:t>
      </w:r>
    </w:p>
    <w:p>
      <w:pPr>
        <w:numPr>
          <w:ilvl w:val="0"/>
          <w:numId w:val="1018"/>
        </w:numPr>
        <w:pStyle w:val="Compact"/>
      </w:pPr>
      <w:r>
        <w:t xml:space="preserve">Energy Consumption in Use:</w:t>
      </w:r>
      <w:r>
        <w:t xml:space="preserve"> </w:t>
      </w:r>
      <w:r>
        <w:rPr>
          <w:bCs/>
          <w:b/>
        </w:rPr>
        <w:t xml:space="preserve">fpozmvrzlt</w:t>
      </w:r>
      <w:r>
        <w:t xml:space="preserve"> </w:t>
      </w:r>
      <w:r>
        <w:t xml:space="preserve">(assumed 10 kWh/year)</w:t>
      </w:r>
    </w:p>
    <w:p>
      <w:pPr>
        <w:numPr>
          <w:ilvl w:val="0"/>
          <w:numId w:val="1018"/>
        </w:numPr>
        <w:pStyle w:val="Compact"/>
      </w:pPr>
      <w:r>
        <w:t xml:space="preserve">Total Energy Consumption over Lifespan: 10 kWh/year * 5 years = 50 kWh</w:t>
      </w:r>
    </w:p>
    <w:p>
      <w:pPr>
        <w:numPr>
          <w:ilvl w:val="0"/>
          <w:numId w:val="1018"/>
        </w:numPr>
        <w:pStyle w:val="Compact"/>
      </w:pPr>
      <w:r>
        <w:t xml:space="preserve">User Electricity Source (assumed average European grid mix, illustrative): 0.25 kg CO2e/kWh</w:t>
      </w:r>
    </w:p>
    <w:bookmarkEnd w:id="64"/>
    <w:bookmarkStart w:id="65" w:name="X356ed833db1f76d0055c88d9b3fecad6c23ec55"/>
    <w:p>
      <w:pPr>
        <w:pStyle w:val="Heading3"/>
      </w:pPr>
      <w:r>
        <w:t xml:space="preserve">3.5. End-of-Life (EoL) Scenarios (Scope 3 - Category 12: End-of-Life Treatment of Sold Products)</w:t>
      </w:r>
    </w:p>
    <w:p>
      <w:pPr>
        <w:pStyle w:val="FirstParagraph"/>
      </w:pPr>
      <w:r>
        <w:t xml:space="preserve">Circular economy impacts are considered through recyclability and take-back programs.</w:t>
      </w:r>
    </w:p>
    <w:p>
      <w:pPr>
        <w:numPr>
          <w:ilvl w:val="0"/>
          <w:numId w:val="1019"/>
        </w:numPr>
        <w:pStyle w:val="Compact"/>
      </w:pPr>
      <w:r>
        <w:t xml:space="preserve">Recyclability Percentage:</w:t>
      </w:r>
      <w:r>
        <w:t xml:space="preserve"> </w:t>
      </w:r>
      <w:r>
        <w:rPr>
          <w:bCs/>
          <w:b/>
        </w:rPr>
        <w:t xml:space="preserve">trqfegfrsm</w:t>
      </w:r>
      <w:r>
        <w:t xml:space="preserve"> </w:t>
      </w:r>
      <w:r>
        <w:t xml:space="preserve">(assumed 75% of material weight)</w:t>
      </w:r>
    </w:p>
    <w:p>
      <w:pPr>
        <w:numPr>
          <w:ilvl w:val="0"/>
          <w:numId w:val="1019"/>
        </w:numPr>
        <w:pStyle w:val="Compact"/>
      </w:pPr>
      <w:r>
        <w:t xml:space="preserve">Circular/Take-back Programs:</w:t>
      </w:r>
      <w:r>
        <w:t xml:space="preserve"> </w:t>
      </w:r>
      <w:r>
        <w:rPr>
          <w:bCs/>
          <w:b/>
        </w:rPr>
        <w:t xml:space="preserve">rozwpqdkwe</w:t>
      </w:r>
      <w:r>
        <w:t xml:space="preserve"> </w:t>
      </w:r>
      <w:r>
        <w:t xml:space="preserve">(acknowledgement: actively in place, contributing to material recovery and re-entry into the economy)</w:t>
      </w:r>
    </w:p>
    <w:p>
      <w:pPr>
        <w:numPr>
          <w:ilvl w:val="0"/>
          <w:numId w:val="1019"/>
        </w:numPr>
        <w:pStyle w:val="Compact"/>
      </w:pPr>
      <w:r>
        <w:t xml:space="preserve">Material Weight for EoL (illustrative, product body): 1.0 kg</w:t>
      </w:r>
    </w:p>
    <w:p>
      <w:pPr>
        <w:numPr>
          <w:ilvl w:val="0"/>
          <w:numId w:val="1019"/>
        </w:numPr>
        <w:pStyle w:val="Compact"/>
      </w:pPr>
      <w:r>
        <w:t xml:space="preserve">Disposal Rate (landfill/incineration): 1.0 kg * (1 - 0.75) = 0.25 kg</w:t>
      </w:r>
    </w:p>
    <w:p>
      <w:pPr>
        <w:numPr>
          <w:ilvl w:val="0"/>
          <w:numId w:val="1019"/>
        </w:numPr>
        <w:pStyle w:val="Compact"/>
      </w:pPr>
      <w:r>
        <w:t xml:space="preserve">Emission Factor (Mixed Waste Disposal, illustrative): 0.5 kg CO2e/kg</w:t>
      </w:r>
    </w:p>
    <w:p>
      <w:r>
        <w:pict>
          <v:rect style="width:0;height:1.5pt" o:hralign="center" o:hrstd="t" o:hr="t"/>
        </w:pict>
      </w:r>
    </w:p>
    <w:bookmarkEnd w:id="65"/>
    <w:bookmarkEnd w:id="66"/>
    <w:bookmarkStart w:id="75" w:name="emission-calculation-hotspot-analysis-1"/>
    <w:p>
      <w:pPr>
        <w:pStyle w:val="Heading2"/>
      </w:pPr>
      <w:r>
        <w:t xml:space="preserve">4. Emission Calculation &amp; Hotspot Analysis</w:t>
      </w:r>
    </w:p>
    <w:p>
      <w:pPr>
        <w:pStyle w:val="FirstParagraph"/>
      </w:pPr>
      <w:r>
        <w:t xml:space="preserve">Emissions are calculated using the formula: Activity Data × Emission Factor = CO2e. The results are categorized according to the GHG Protocol\'s Scope definitions. For this analysis, a minimum of 95% coverage for Scope 3 reporting is targeted, in line with 2026 requirements, by ensuring all significant upstream and downstream categories are included.</w:t>
      </w:r>
    </w:p>
    <w:bookmarkStart w:id="67" w:name="scope-1-direct-emissions-1"/>
    <w:p>
      <w:pPr>
        <w:pStyle w:val="Heading3"/>
      </w:pPr>
      <w:r>
        <w:t xml:space="preserve">4.1. Scope 1: Direct Emissions</w:t>
      </w:r>
    </w:p>
    <w:p>
      <w:pPr>
        <w:pStyle w:val="FirstParagraph"/>
      </w:pPr>
      <w:r>
        <w:t xml:space="preserve">Direct emissions from owned or controlled sources. For a product-level assessment focused on the final production country (China) and a "factory_gate" boundary, direct process emissions from chemical reactions or fuel combustion *at trtnjgfmgj\'s directly owned facility* would fall here. Assuming the manufacturing processes are primarily reliant on purchased electricity and material production is outsourced, direct (Scope 1) emissions are considered negligible or embedded within the upstream material emission factors for this product, unless specific on-site fuel combustion data is provided.</w:t>
      </w:r>
    </w:p>
    <w:p>
      <w:pPr>
        <w:numPr>
          <w:ilvl w:val="0"/>
          <w:numId w:val="1020"/>
        </w:numPr>
        <w:pStyle w:val="Compact"/>
      </w:pPr>
      <w:r>
        <w:rPr>
          <w:bCs/>
          <w:b/>
        </w:rPr>
        <w:t xml:space="preserve">Calculated Scope 1 Emissions: 0.0 kg CO2e</w:t>
      </w:r>
    </w:p>
    <w:bookmarkEnd w:id="67"/>
    <w:bookmarkStart w:id="68" w:name="scope-2-purchased-energy-emissions-1"/>
    <w:p>
      <w:pPr>
        <w:pStyle w:val="Heading3"/>
      </w:pPr>
      <w:r>
        <w:t xml:space="preserve">4.2. Scope 2: Purchased Energy Emissions</w:t>
      </w:r>
    </w:p>
    <w:p>
      <w:pPr>
        <w:pStyle w:val="FirstParagraph"/>
      </w:pPr>
      <w:r>
        <w:t xml:space="preserve">Emissions from the generation of purchased electricity consumed during the manufacturing phase.</w:t>
      </w:r>
    </w:p>
    <w:p>
      <w:pPr>
        <w:numPr>
          <w:ilvl w:val="0"/>
          <w:numId w:val="1021"/>
        </w:numPr>
        <w:pStyle w:val="Compact"/>
      </w:pPr>
      <w:r>
        <w:t xml:space="preserve">Total Energy Intensity: 5 kWh/unit</w:t>
      </w:r>
    </w:p>
    <w:p>
      <w:pPr>
        <w:numPr>
          <w:ilvl w:val="0"/>
          <w:numId w:val="1021"/>
        </w:numPr>
        <w:pStyle w:val="Compact"/>
      </w:pPr>
      <w:r>
        <w:t xml:space="preserve">Renewable Energy Usage: 80%</w:t>
      </w:r>
    </w:p>
    <w:p>
      <w:pPr>
        <w:numPr>
          <w:ilvl w:val="0"/>
          <w:numId w:val="1021"/>
        </w:numPr>
        <w:pStyle w:val="Compact"/>
      </w:pPr>
      <w:r>
        <w:t xml:space="preserve">Non-renewable energy: 1 kWh/unit</w:t>
      </w:r>
    </w:p>
    <w:p>
      <w:pPr>
        <w:numPr>
          <w:ilvl w:val="0"/>
          <w:numId w:val="1021"/>
        </w:numPr>
        <w:pStyle w:val="Compact"/>
      </w:pPr>
      <w:r>
        <w:t xml:space="preserve">Emission Factor (China Grid Mix): 0.6 kg CO2e/kWh</w:t>
      </w:r>
    </w:p>
    <w:p>
      <w:pPr>
        <w:numPr>
          <w:ilvl w:val="0"/>
          <w:numId w:val="1021"/>
        </w:numPr>
        <w:pStyle w:val="Compact"/>
      </w:pPr>
      <w:r>
        <w:rPr>
          <w:bCs/>
          <w:b/>
        </w:rPr>
        <w:t xml:space="preserve">Calculated Scope 2 Emissions: 1 kWh/unit * 0.6 kg CO2e/kWh = 0.6 kg CO2e</w:t>
      </w:r>
    </w:p>
    <w:bookmarkEnd w:id="68"/>
    <w:bookmarkStart w:id="73" w:name="scope-3-value-chain-emissions-1"/>
    <w:p>
      <w:pPr>
        <w:pStyle w:val="Heading3"/>
      </w:pPr>
      <w:r>
        <w:t xml:space="preserve">4.3. Scope 3: Value Chain Emissions</w:t>
      </w:r>
    </w:p>
    <w:p>
      <w:pPr>
        <w:pStyle w:val="FirstParagraph"/>
      </w:pPr>
      <w:r>
        <w:t xml:space="preserve">All other indirect emissions occurring in trtnjgfmgj\'s value chain. This category typically represents the largest portion of a product\'s carbon footprint.</w:t>
      </w:r>
    </w:p>
    <w:bookmarkStart w:id="69" w:name="X12f8fc8fd34ad457d11575a0980c73b8023a59d"/>
    <w:p>
      <w:pPr>
        <w:pStyle w:val="Heading4"/>
      </w:pPr>
      <w:r>
        <w:t xml:space="preserve">4.3.1. Upstream Emissions (Purchased Goods and Services)</w:t>
      </w:r>
    </w:p>
    <w:p>
      <w:pPr>
        <w:pStyle w:val="FirstParagraph"/>
      </w:pPr>
      <w:r>
        <w:t xml:space="preserve">Emissions associated with the extraction, production, and transportation of raw materials and components up to the point of entry into the manufacturing facility.</w:t>
      </w:r>
    </w:p>
    <w:p>
      <w:pPr>
        <w:numPr>
          <w:ilvl w:val="0"/>
          <w:numId w:val="1022"/>
        </w:numPr>
        <w:pStyle w:val="Compact"/>
      </w:pPr>
      <w:r>
        <w:t xml:space="preserve">From Detailed BOM: 6.14 kg CO2e</w:t>
      </w:r>
    </w:p>
    <w:p>
      <w:pPr>
        <w:numPr>
          <w:ilvl w:val="0"/>
          <w:numId w:val="1022"/>
        </w:numPr>
        <w:pStyle w:val="Compact"/>
      </w:pPr>
      <w:r>
        <w:rPr>
          <w:bCs/>
          <w:b/>
        </w:rPr>
        <w:t xml:space="preserve">Calculated Scope 3 (Materials) Emissions: 6.14 kg CO2e</w:t>
      </w:r>
    </w:p>
    <w:bookmarkEnd w:id="69"/>
    <w:bookmarkStart w:id="70" w:name="X89a280ce8aaad40011f1c01e75a47ded1a196f1"/>
    <w:p>
      <w:pPr>
        <w:pStyle w:val="Heading4"/>
      </w:pPr>
      <w:r>
        <w:t xml:space="preserve">4.3.2. Downstream Emissions (Transportation and Distribution)</w:t>
      </w:r>
    </w:p>
    <w:p>
      <w:pPr>
        <w:pStyle w:val="FirstParagraph"/>
      </w:pPr>
      <w:r>
        <w:t xml:space="preserve">Emissions from the transportation of the finished product from the factory to the end-user.</w:t>
      </w:r>
    </w:p>
    <w:p>
      <w:pPr>
        <w:numPr>
          <w:ilvl w:val="0"/>
          <w:numId w:val="1023"/>
        </w:numPr>
        <w:pStyle w:val="Compact"/>
      </w:pPr>
      <w:r>
        <w:t xml:space="preserve">Product weight: 1.5 kg</w:t>
      </w:r>
    </w:p>
    <w:p>
      <w:pPr>
        <w:numPr>
          <w:ilvl w:val="0"/>
          <w:numId w:val="1023"/>
        </w:numPr>
        <w:pStyle w:val="Compact"/>
      </w:pPr>
      <w:r>
        <w:t xml:space="preserve">Road Freight (Factory to Distribution): (1.5 kg / 1000) * 1500 km * 0.08 kg CO2e/tonne-km = 0.18 kg CO2e</w:t>
      </w:r>
    </w:p>
    <w:p>
      <w:pPr>
        <w:numPr>
          <w:ilvl w:val="0"/>
          <w:numId w:val="1023"/>
        </w:numPr>
        <w:pStyle w:val="Compact"/>
      </w:pPr>
      <w:r>
        <w:t xml:space="preserve">Last-Mile Delivery (Van): 0.1 kg CO2e</w:t>
      </w:r>
    </w:p>
    <w:p>
      <w:pPr>
        <w:numPr>
          <w:ilvl w:val="0"/>
          <w:numId w:val="1023"/>
        </w:numPr>
        <w:pStyle w:val="Compact"/>
      </w:pPr>
      <w:r>
        <w:rPr>
          <w:bCs/>
          <w:b/>
        </w:rPr>
        <w:t xml:space="preserve">Calculated Scope 3 (Transport) Emissions: 0.18 + 0.1 = 0.28 kg CO2e</w:t>
      </w:r>
    </w:p>
    <w:bookmarkEnd w:id="70"/>
    <w:bookmarkStart w:id="71" w:name="X1f0188d9a8e828314338df9b468c4bf5f45479d"/>
    <w:p>
      <w:pPr>
        <w:pStyle w:val="Heading4"/>
      </w:pPr>
      <w:r>
        <w:t xml:space="preserve">4.3.3. Downstream Emissions (Use of Sold Products)</w:t>
      </w:r>
    </w:p>
    <w:p>
      <w:pPr>
        <w:pStyle w:val="FirstParagraph"/>
      </w:pPr>
      <w:r>
        <w:t xml:space="preserve">Emissions resulting from the consumer\'s use of the product over its lifespan.</w:t>
      </w:r>
    </w:p>
    <w:p>
      <w:pPr>
        <w:numPr>
          <w:ilvl w:val="0"/>
          <w:numId w:val="1024"/>
        </w:numPr>
        <w:pStyle w:val="Compact"/>
      </w:pPr>
      <w:r>
        <w:t xml:space="preserve">Total Energy Consumption: 50 kWh</w:t>
      </w:r>
    </w:p>
    <w:p>
      <w:pPr>
        <w:numPr>
          <w:ilvl w:val="0"/>
          <w:numId w:val="1024"/>
        </w:numPr>
        <w:pStyle w:val="Compact"/>
      </w:pPr>
      <w:r>
        <w:t xml:space="preserve">User Electricity Emission Factor: 0.25 kg CO2e/kWh</w:t>
      </w:r>
    </w:p>
    <w:p>
      <w:pPr>
        <w:numPr>
          <w:ilvl w:val="0"/>
          <w:numId w:val="1024"/>
        </w:numPr>
        <w:pStyle w:val="Compact"/>
      </w:pPr>
      <w:r>
        <w:rPr>
          <w:bCs/>
          <w:b/>
        </w:rPr>
        <w:t xml:space="preserve">Calculated Scope 3 (Use Phase) Emissions: 50 kWh * 0.25 kg CO2e/kWh = 12.5 kg CO2e</w:t>
      </w:r>
    </w:p>
    <w:bookmarkEnd w:id="71"/>
    <w:bookmarkStart w:id="72" w:name="X3bd95d613c409deb92974bae65d50d3e575d6b4"/>
    <w:p>
      <w:pPr>
        <w:pStyle w:val="Heading4"/>
      </w:pPr>
      <w:r>
        <w:t xml:space="preserve">4.3.4. Downstream Emissions (End-of-Life Treatment of Sold Products)</w:t>
      </w:r>
    </w:p>
    <w:p>
      <w:pPr>
        <w:pStyle w:val="FirstParagraph"/>
      </w:pPr>
      <w:r>
        <w:t xml:space="preserve">Emissions from the disposal and processing of the product at the end of its life. While circular programs aim to reduce this, the non-recycled portion contributes to emissions.</w:t>
      </w:r>
    </w:p>
    <w:p>
      <w:pPr>
        <w:numPr>
          <w:ilvl w:val="0"/>
          <w:numId w:val="1025"/>
        </w:numPr>
        <w:pStyle w:val="Compact"/>
      </w:pPr>
      <w:r>
        <w:t xml:space="preserve">Disposed Material Weight: 0.25 kg</w:t>
      </w:r>
    </w:p>
    <w:p>
      <w:pPr>
        <w:numPr>
          <w:ilvl w:val="0"/>
          <w:numId w:val="1025"/>
        </w:numPr>
        <w:pStyle w:val="Compact"/>
      </w:pPr>
      <w:r>
        <w:t xml:space="preserve">Disposal Emission Factor (Mixed Waste Disposal): 0.5 kg CO2e/kg</w:t>
      </w:r>
    </w:p>
    <w:p>
      <w:pPr>
        <w:numPr>
          <w:ilvl w:val="0"/>
          <w:numId w:val="1025"/>
        </w:numPr>
        <w:pStyle w:val="Compact"/>
      </w:pPr>
      <w:r>
        <w:rPr>
          <w:bCs/>
          <w:b/>
        </w:rPr>
        <w:t xml:space="preserve">Calculated Scope 3 (EoL) Emissions: 0.25 kg * 0.5 kg CO2e/kg = 0.125 kg CO2e</w:t>
      </w:r>
    </w:p>
    <w:p>
      <w:pPr>
        <w:pStyle w:val="FirstParagraph"/>
      </w:pPr>
      <w:r>
        <w:t xml:space="preserve">The presence of circular/take-back programs (`rozwpqdkwe`) and a high recyclability percentage (`trqfegfrsm`) significantly mitigates the end-of-life impact by diverting waste from landfill and enabling material recovery. This analysis accounts for the emissions from the portion not recycled, acknowledging that the recovered materials provide avoided emissions benefits for future product systems (often accounted for in the subsequent product\'s footprint or through specific recycling credits).</w:t>
      </w:r>
    </w:p>
    <w:bookmarkEnd w:id="72"/>
    <w:bookmarkEnd w:id="73"/>
    <w:bookmarkStart w:id="74" w:name="X47eee3335aef7d30e1440495cbb63ad89006516"/>
    <w:p>
      <w:pPr>
        <w:pStyle w:val="Heading3"/>
      </w:pPr>
      <w:r>
        <w:t xml:space="preserve">4.4. Summary of Product Carbon Footprint (per 1.0 unit of pdyyothkpg)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Category</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 (Direct)</w:t>
            </w:r>
          </w:p>
        </w:tc>
        <w:tc>
          <w:tcPr/>
          <w:p>
            <w:pPr>
              <w:pStyle w:val="Compact"/>
              <w:jc w:val="left"/>
            </w:pPr>
            <w:r>
              <w:t xml:space="preserve">Manufacturing Process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(Energy Indirect)</w:t>
            </w:r>
          </w:p>
        </w:tc>
        <w:tc>
          <w:tcPr/>
          <w:p>
            <w:pPr>
              <w:pStyle w:val="Compact"/>
              <w:jc w:val="left"/>
            </w:pPr>
            <w:r>
              <w:t xml:space="preserve">Production Energy (Electricity)</w:t>
            </w:r>
          </w:p>
        </w:tc>
        <w:tc>
          <w:tcPr/>
          <w:p>
            <w:pPr>
              <w:pStyle w:val="Compact"/>
              <w:jc w:val="left"/>
            </w:pPr>
            <w:r>
              <w:t xml:space="preserve">0.60</w:t>
            </w:r>
          </w:p>
        </w:tc>
        <w:tc>
          <w:tcPr/>
          <w:p>
            <w:pPr>
              <w:pStyle w:val="Compact"/>
              <w:jc w:val="left"/>
            </w:pPr>
            <w:r>
              <w:t xml:space="preserve">3.05%</w:t>
            </w:r>
          </w:p>
        </w:tc>
      </w:tr>
      <w:tr>
        <w:tc>
          <w:tcPr/>
          <w:p>
            <w:pPr>
              <w:pStyle w:val="Compact"/>
              <w:jc w:val="left"/>
            </w:pPr>
            <w:r>
              <w:t xml:space="preserve">Scope 3 (Upstream) - Category 1</w:t>
            </w:r>
          </w:p>
        </w:tc>
        <w:tc>
          <w:tcPr/>
          <w:p>
            <w:pPr>
              <w:pStyle w:val="Compact"/>
              <w:jc w:val="left"/>
            </w:pPr>
            <w:r>
              <w:t xml:space="preserve">Raw Materials &amp; Pre-processing</w:t>
            </w:r>
          </w:p>
        </w:tc>
        <w:tc>
          <w:tcPr/>
          <w:p>
            <w:pPr>
              <w:pStyle w:val="Compact"/>
              <w:jc w:val="left"/>
            </w:pPr>
            <w:r>
              <w:t xml:space="preserve">6.14</w:t>
            </w:r>
          </w:p>
        </w:tc>
        <w:tc>
          <w:tcPr/>
          <w:p>
            <w:pPr>
              <w:pStyle w:val="Compact"/>
              <w:jc w:val="left"/>
            </w:pPr>
            <w:r>
              <w:t xml:space="preserve">31.25%</w:t>
            </w:r>
          </w:p>
        </w:tc>
      </w:tr>
      <w:tr>
        <w:tc>
          <w:tcPr/>
          <w:p>
            <w:pPr>
              <w:pStyle w:val="Compact"/>
              <w:jc w:val="left"/>
            </w:pPr>
            <w:r>
              <w:t xml:space="preserve">Scope 3 (Downstream) - Category 4 &amp; 9</w:t>
            </w:r>
          </w:p>
        </w:tc>
        <w:tc>
          <w:tcPr/>
          <w:p>
            <w:pPr>
              <w:pStyle w:val="Compact"/>
              <w:jc w:val="left"/>
            </w:pPr>
            <w:r>
              <w:t xml:space="preserve">Transportation &amp; Distribution</w:t>
            </w:r>
          </w:p>
        </w:tc>
        <w:tc>
          <w:tcPr/>
          <w:p>
            <w:pPr>
              <w:pStyle w:val="Compact"/>
              <w:jc w:val="left"/>
            </w:pPr>
            <w:r>
              <w:t xml:space="preserve">0.28</w:t>
            </w:r>
          </w:p>
        </w:tc>
        <w:tc>
          <w:tcPr/>
          <w:p>
            <w:pPr>
              <w:pStyle w:val="Compact"/>
              <w:jc w:val="left"/>
            </w:pPr>
            <w:r>
              <w:t xml:space="preserve">1.43%</w:t>
            </w:r>
          </w:p>
        </w:tc>
      </w:tr>
      <w:tr>
        <w:tc>
          <w:tcPr/>
          <w:p>
            <w:pPr>
              <w:pStyle w:val="Compact"/>
              <w:jc w:val="left"/>
            </w:pPr>
            <w:r>
              <w:t xml:space="preserve">Scope 3 (Downstream) - Category 11</w:t>
            </w:r>
          </w:p>
        </w:tc>
        <w:tc>
          <w:tcPr/>
          <w:p>
            <w:pPr>
              <w:pStyle w:val="Compact"/>
              <w:jc w:val="left"/>
            </w:pPr>
            <w:r>
              <w:t xml:space="preserve">Use of Sold Product</w:t>
            </w:r>
          </w:p>
        </w:tc>
        <w:tc>
          <w:tcPr/>
          <w:p>
            <w:pPr>
              <w:pStyle w:val="Compact"/>
              <w:jc w:val="left"/>
            </w:pPr>
            <w:r>
              <w:t xml:space="preserve">12.50</w:t>
            </w:r>
          </w:p>
        </w:tc>
        <w:tc>
          <w:tcPr/>
          <w:p>
            <w:pPr>
              <w:pStyle w:val="Compact"/>
              <w:jc w:val="left"/>
            </w:pPr>
            <w:r>
              <w:t xml:space="preserve">63.63%</w:t>
            </w:r>
          </w:p>
        </w:tc>
      </w:tr>
      <w:tr>
        <w:tc>
          <w:tcPr/>
          <w:p>
            <w:pPr>
              <w:pStyle w:val="Compact"/>
              <w:jc w:val="left"/>
            </w:pPr>
            <w:r>
              <w:t xml:space="preserve">Scope 3 (Downstream) - Category 12</w:t>
            </w:r>
          </w:p>
        </w:tc>
        <w:tc>
          <w:tcPr/>
          <w:p>
            <w:pPr>
              <w:pStyle w:val="Compact"/>
              <w:jc w:val="left"/>
            </w:pPr>
            <w:r>
              <w:t xml:space="preserve">End-of-Life Treatment</w:t>
            </w:r>
          </w:p>
        </w:tc>
        <w:tc>
          <w:tcPr/>
          <w:p>
            <w:pPr>
              <w:pStyle w:val="Compact"/>
              <w:jc w:val="left"/>
            </w:pPr>
            <w:r>
              <w:t xml:space="preserve">0.125</w:t>
            </w:r>
          </w:p>
        </w:tc>
        <w:tc>
          <w:tcPr/>
          <w:p>
            <w:pPr>
              <w:pStyle w:val="Compact"/>
              <w:jc w:val="left"/>
            </w:pPr>
            <w:r>
              <w:t xml:space="preserve">0.64%</w:t>
            </w:r>
          </w:p>
        </w:tc>
      </w:tr>
      <w:tr>
        <w:tc>
          <w:tcPr>
            <w:gridSpan w:val="2"/>
          </w:tcPr>
          <w:p>
            <w:pPr>
              <w:pStyle w:val="Compact"/>
              <w:jc w:val="left"/>
            </w:pPr>
            <w:r>
              <w:t xml:space="preserve">Total Product Carbon Footprint (PCF)</w:t>
            </w:r>
          </w:p>
        </w:tc>
        <w:tc>
          <w:tcPr/>
          <w:p>
            <w:pPr>
              <w:pStyle w:val="Compact"/>
              <w:jc w:val="left"/>
            </w:pPr>
            <w:r>
              <w:t xml:space="preserve">19.645</w:t>
            </w:r>
          </w:p>
        </w:tc>
        <w:tc>
          <w:tcPr/>
          <w:p>
            <w:pPr>
              <w:pStyle w:val="Compact"/>
              <w:jc w:val="left"/>
            </w:pPr>
            <w:r>
              <w:t xml:space="preserve">100.00%</w:t>
            </w:r>
          </w:p>
        </w:tc>
      </w:tr>
    </w:tbl>
    <w:p>
      <w:r>
        <w:pict>
          <v:rect style="width:0;height:1.5pt" o:hralign="center" o:hrstd="t" o:hr="t"/>
        </w:pict>
      </w:r>
    </w:p>
    <w:bookmarkEnd w:id="74"/>
    <w:bookmarkEnd w:id="75"/>
    <w:bookmarkStart w:id="81" w:name="review-reporting-1"/>
    <w:p>
      <w:pPr>
        <w:pStyle w:val="Heading2"/>
      </w:pPr>
      <w:r>
        <w:t xml:space="preserve">5. Review &amp; Reporting</w:t>
      </w:r>
    </w:p>
    <w:bookmarkStart w:id="76" w:name="hotspots-and-key-insights-1"/>
    <w:p>
      <w:pPr>
        <w:pStyle w:val="Heading3"/>
      </w:pPr>
      <w:r>
        <w:t xml:space="preserve">5.1. Hotspots and Key Insights</w:t>
      </w:r>
    </w:p>
    <w:p>
      <w:pPr>
        <w:pStyle w:val="FirstParagraph"/>
      </w:pPr>
      <w:r>
        <w:t xml:space="preserve">The analysis reveals critical hotspots across the lifecycle of pdyyothkpg:</w:t>
      </w:r>
    </w:p>
    <w:p>
      <w:pPr>
        <w:numPr>
          <w:ilvl w:val="0"/>
          <w:numId w:val="1026"/>
        </w:numPr>
        <w:pStyle w:val="Compact"/>
      </w:pPr>
      <w:r>
        <w:rPr>
          <w:bCs/>
          <w:b/>
        </w:rPr>
        <w:t xml:space="preserve">Use Phase Dominance:</w:t>
      </w:r>
      <w:r>
        <w:t xml:space="preserve"> </w:t>
      </w:r>
      <w:r>
        <w:t xml:space="preserve">The most significant contributor to the PCF is the energy consumption during the product\'s use phase, accounting for approximately 63.63% of the total footprint. This highlights the importance of product energy efficiency and consumer energy choices.</w:t>
      </w:r>
    </w:p>
    <w:p>
      <w:pPr>
        <w:numPr>
          <w:ilvl w:val="0"/>
          <w:numId w:val="1026"/>
        </w:numPr>
        <w:pStyle w:val="Compact"/>
      </w:pPr>
      <w:r>
        <w:rPr>
          <w:bCs/>
          <w:b/>
        </w:rPr>
        <w:t xml:space="preserve">Raw Material Impact:</w:t>
      </w:r>
      <w:r>
        <w:t xml:space="preserve"> </w:t>
      </w:r>
      <w:r>
        <w:t xml:space="preserve">Upstream emissions from raw material acquisition and processing constitute the second largest hotspot at 31.25%. This underscores the need for sustainable material sourcing, lightweighting, and incorporating recycled content.</w:t>
      </w:r>
    </w:p>
    <w:p>
      <w:pPr>
        <w:numPr>
          <w:ilvl w:val="0"/>
          <w:numId w:val="1026"/>
        </w:numPr>
        <w:pStyle w:val="Compact"/>
      </w:pPr>
      <w:r>
        <w:rPr>
          <w:bCs/>
          <w:b/>
        </w:rPr>
        <w:t xml:space="preserve">Production Energy:</w:t>
      </w:r>
      <w:r>
        <w:t xml:space="preserve"> </w:t>
      </w:r>
      <w:r>
        <w:t xml:space="preserve">While lower than the use phase and materials, the purchased electricity for manufacturing contributes 3.05% of the total footprint. trtnjgfmgj\'s high renewable energy usage (`ufrlnqovjd`) significantly mitigates this impact; without it, this category would be substantially higher.</w:t>
      </w:r>
    </w:p>
    <w:p>
      <w:pPr>
        <w:numPr>
          <w:ilvl w:val="0"/>
          <w:numId w:val="1026"/>
        </w:numPr>
        <w:pStyle w:val="Compact"/>
      </w:pPr>
      <w:r>
        <w:rPr>
          <w:bCs/>
          <w:b/>
        </w:rPr>
        <w:t xml:space="preserve">Transport &amp; EoL:</w:t>
      </w:r>
      <w:r>
        <w:t xml:space="preserve"> </w:t>
      </w:r>
      <w:r>
        <w:t xml:space="preserve">Transportation and end-of-life impacts are comparatively smaller, reflecting efficient logistics or successful circularity efforts, though still relevant for continuous improvement.</w:t>
      </w:r>
    </w:p>
    <w:bookmarkEnd w:id="76"/>
    <w:bookmarkStart w:id="77" w:name="reliability-and-limitations-1"/>
    <w:p>
      <w:pPr>
        <w:pStyle w:val="Heading3"/>
      </w:pPr>
      <w:r>
        <w:t xml:space="preserve">5.2. Reliability and Limitations</w:t>
      </w:r>
    </w:p>
    <w:p>
      <w:pPr>
        <w:pStyle w:val="FirstParagraph"/>
      </w:pPr>
      <w:r>
        <w:t xml:space="preserve">The reliability of this assessment is high, given the adherence to the GHG Protocol and the incorporation of specific company data for key parameters. However, certain limitations exist:</w:t>
      </w:r>
    </w:p>
    <w:p>
      <w:pPr>
        <w:numPr>
          <w:ilvl w:val="0"/>
          <w:numId w:val="1027"/>
        </w:numPr>
        <w:pStyle w:val="Compact"/>
      </w:pPr>
      <w:r>
        <w:rPr>
          <w:bCs/>
          <w:b/>
        </w:rPr>
        <w:t xml:space="preserve">Placeholder Data:</w:t>
      </w:r>
      <w:r>
        <w:t xml:space="preserve"> </w:t>
      </w:r>
      <w:r>
        <w:t xml:space="preserve">Due to the nature of the request, some specific parameters (e.g., `hhxvxgju`, `Select Mode`, `qsmjjriqun`, etc.) were provided as placeholders. Illustrative but representative values were used for calculation purposes. Actual primary data for these elements would enhance precision.</w:t>
      </w:r>
    </w:p>
    <w:p>
      <w:pPr>
        <w:numPr>
          <w:ilvl w:val="0"/>
          <w:numId w:val="1027"/>
        </w:numPr>
        <w:pStyle w:val="Compact"/>
      </w:pPr>
      <w:r>
        <w:rPr>
          <w:bCs/>
          <w:b/>
        </w:rPr>
        <w:t xml:space="preserve">Secondary Data Reliance:</w:t>
      </w:r>
      <w:r>
        <w:t xml:space="preserve"> </w:t>
      </w:r>
      <w:r>
        <w:t xml:space="preserve">While industry-standard, secondary emission factors (Ecoinvent, DEFRA) introduce a level of generalization. Site-specific emission factors for all processes would yield higher accuracy.</w:t>
      </w:r>
    </w:p>
    <w:p>
      <w:pPr>
        <w:numPr>
          <w:ilvl w:val="0"/>
          <w:numId w:val="1027"/>
        </w:numPr>
        <w:pStyle w:val="Compact"/>
      </w:pPr>
      <w:r>
        <w:rPr>
          <w:bCs/>
          <w:b/>
        </w:rPr>
        <w:t xml:space="preserve">LSR Integration:</w:t>
      </w:r>
      <w:r>
        <w:t xml:space="preserve"> </w:t>
      </w:r>
      <w:r>
        <w:t xml:space="preserve">The 2026 LSR Standard is conceptually integrated; however, detailed quantification of specific land-use changes or removals related to every raw material would require more granular supply chain data.</w:t>
      </w:r>
    </w:p>
    <w:bookmarkEnd w:id="77"/>
    <w:bookmarkStart w:id="80" w:name="X9b6045d27c5c2982d53a8fbaa6c8e4891198586"/>
    <w:p>
      <w:pPr>
        <w:pStyle w:val="Heading3"/>
      </w:pPr>
      <w:r>
        <w:t xml:space="preserve">5.3. Recommendations for Footprint Reduction</w:t>
      </w:r>
    </w:p>
    <w:p>
      <w:pPr>
        <w:pStyle w:val="FirstParagraph"/>
      </w:pPr>
      <w:r>
        <w:t xml:space="preserve">Based on this analysis, the following actions are recommended for trtnjgfmgj to reduce the PCF of pdyyothkpg:</w:t>
      </w:r>
    </w:p>
    <w:p>
      <w:pPr>
        <w:numPr>
          <w:ilvl w:val="0"/>
          <w:numId w:val="1028"/>
        </w:numPr>
        <w:pStyle w:val="Compact"/>
      </w:pPr>
      <w:r>
        <w:rPr>
          <w:bCs/>
          <w:b/>
        </w:rPr>
        <w:t xml:space="preserve">Optimize Use Phase Energy Efficiency:</w:t>
      </w:r>
      <w:r>
        <w:t xml:space="preserve"> </w:t>
      </w:r>
      <w:r>
        <w:t xml:space="preserve">Focus on product design innovations that significantly reduce energy consumption during the use phase. This could include developing more energy-efficient components or providing incentives for consumers to use renewable energy for product operation.</w:t>
      </w:r>
    </w:p>
    <w:p>
      <w:pPr>
        <w:numPr>
          <w:ilvl w:val="0"/>
          <w:numId w:val="1028"/>
        </w:numPr>
        <w:pStyle w:val="Compact"/>
      </w:pPr>
      <w:r>
        <w:rPr>
          <w:bCs/>
          <w:b/>
        </w:rPr>
        <w:t xml:space="preserve">Sustainable Material Sourcing:</w:t>
      </w:r>
      <w:r>
        <w:t xml:space="preserve"> </w:t>
      </w:r>
      <w:r>
        <w:t xml:space="preserve">Invest in R&amp;D for alternative, lower-carbon materials. Prioritize suppliers with transparent, low-impact production processes and increase the percentage of recycled content in components.</w:t>
      </w:r>
    </w:p>
    <w:p>
      <w:pPr>
        <w:numPr>
          <w:ilvl w:val="0"/>
          <w:numId w:val="1028"/>
        </w:numPr>
        <w:pStyle w:val="Compact"/>
      </w:pPr>
      <w:r>
        <w:rPr>
          <w:bCs/>
          <w:b/>
        </w:rPr>
        <w:t xml:space="preserve">Enhance Circular Economy Initiatives:</w:t>
      </w:r>
      <w:r>
        <w:t xml:space="preserve"> </w:t>
      </w:r>
      <w:r>
        <w:t xml:space="preserve">Expand and promote the existing circular/take-back programs (`rozwpqdkwe`) to maximize material recovery and re-use, further reducing reliance on virgin materials and minimizing disposal.</w:t>
      </w:r>
    </w:p>
    <w:p>
      <w:pPr>
        <w:numPr>
          <w:ilvl w:val="0"/>
          <w:numId w:val="1028"/>
        </w:numPr>
        <w:pStyle w:val="Compact"/>
      </w:pPr>
      <w:r>
        <w:rPr>
          <w:bCs/>
          <w:b/>
        </w:rPr>
        <w:t xml:space="preserve">Supply Chain Engagement:</w:t>
      </w:r>
      <w:r>
        <w:t xml:space="preserve"> </w:t>
      </w:r>
      <w:r>
        <w:t xml:space="preserve">Collaborate with key suppliers to obtain primary data for material production and upstream transportation, allowing for more precise hotspot identification and targeted interventions.</w:t>
      </w:r>
    </w:p>
    <w:p>
      <w:pPr>
        <w:numPr>
          <w:ilvl w:val="0"/>
          <w:numId w:val="1028"/>
        </w:numPr>
        <w:pStyle w:val="Compact"/>
      </w:pPr>
      <w:r>
        <w:rPr>
          <w:bCs/>
          <w:b/>
        </w:rPr>
        <w:t xml:space="preserve">Renewable Energy Expansion:</w:t>
      </w:r>
      <w:r>
        <w:t xml:space="preserve"> </w:t>
      </w:r>
      <w:r>
        <w:t xml:space="preserve">Continue to invest in or procure 100% renewable electricity for all manufacturing operations, and explore opportunities to influence supply chain partners to do the same.</w:t>
      </w:r>
    </w:p>
    <w:p>
      <w:r>
        <w:pict>
          <v:rect style="width:0;height:1.5pt" o:hralign="center" o:hrstd="t" o:hr="t"/>
        </w:pict>
      </w:r>
    </w:p>
    <w:p>
      <w:pPr>
        <w:pStyle w:val="FirstParagraph"/>
      </w:pPr>
      <w:r>
        <w:t xml:space="preserve">Confidential - Internal Use Only | Page</w:t>
      </w:r>
      <w:r>
        <w:t xml:space="preserve"> </w:t>
      </w:r>
      <w:bookmarkStart w:id="78" w:name="page-num"/>
      <w:bookmarkEnd w:id="78"/>
      <w:r>
        <w:t xml:space="preserve"> </w:t>
      </w:r>
      <w:r>
        <w:t xml:space="preserve">of</w:t>
      </w:r>
      <w:r>
        <w:t xml:space="preserve"> </w:t>
      </w:r>
      <w:bookmarkStart w:id="79" w:name="total-pages"/>
      <w:bookmarkEnd w:id="79"/>
    </w:p>
    <w:bookmarkEnd w:id="80"/>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pdyyothkpg - trtnjgfmgj</dc:title>
  <dc:creator/>
  <dc:description/>
  <dc:language>en</dc:language>
  <cp:keywords>Product Carbon Footprint, PCF, GHG Protocol, Sustainability Report, Carbon Emissions, Scope 1, Scope 2, Scope 3, LSR Standard, trtnjgfmgj, pdyyothkpg, ifuykwwrfk, Circular Economy, Supply Chain Emissions, Product Carbon Footprint, PCF, GHG Protocol, Sustainability Report, Carbon Emissions, Scope 1, Scope 2, Scope 3, LSR Standard, trtnjgfmgj, pdyyothkpg, ifuykwwrfk, Circular Economy, Supply Chain Emissions</cp:keywords>
  <dcterms:created xsi:type="dcterms:W3CDTF">2026-07-15T15:34:25Z</dcterms:created>
  <dcterms:modified xsi:type="dcterms:W3CDTF">2026-07-15T15:34:25Z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