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pdtroqmhst</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t xml:space="preserve">Product: pdtroqmhst</w:t>
      </w:r>
    </w:p>
    <w:p>
      <w:pPr>
        <w:pStyle w:val="BodyText"/>
      </w:pPr>
      <w:r>
        <w:t xml:space="preserve">Protocol Data (Accounting Standard): GHG Protocol</w:t>
      </w:r>
    </w:p>
    <w:p>
      <w:pPr>
        <w:pStyle w:val="BodyText"/>
      </w:pPr>
      <w:r>
        <w:t xml:space="preserve">Name of the Company: dymmqpspif</w:t>
      </w:r>
    </w:p>
    <w:p>
      <w:pPr>
        <w:pStyle w:val="BodyText"/>
      </w:pPr>
      <w:r>
        <w:t xml:space="preserve">Senior Sustainability Consultant: lfrehrpmgu</w:t>
      </w:r>
    </w:p>
    <w:p>
      <w:pPr>
        <w:pStyle w:val="BodyText"/>
      </w:pPr>
      <w:r>
        <w:t xml:space="preserve">This report is generated based on available data and industry standards. While efforts have been made to ensure accuracy, specific conditions and real-world data may lead to variations.</w:t>
      </w:r>
    </w:p>
    <w:bookmarkEnd w:id="20"/>
    <w:bookmarkStart w:id="48" w:name="X3557905409c319686c809d57940d8a8d2cddc77"/>
    <w:p>
      <w:pPr>
        <w:pStyle w:val="Heading1"/>
      </w:pPr>
      <w:r>
        <w:t xml:space="preserve">Product Carbon Footprint (PCF) Analysis Report for pdtroqmhst</w:t>
      </w:r>
    </w:p>
    <w:p>
      <w:pPr>
        <w:pStyle w:val="FirstParagraph"/>
      </w:pPr>
      <w:r>
        <w:t xml:space="preserve">Generated Date: 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pdtroqmhst</w:t>
      </w:r>
      <w:r>
        <w:t xml:space="preserve">, manufactured by</w:t>
      </w:r>
      <w:r>
        <w:t xml:space="preserve"> </w:t>
      </w:r>
      <w:r>
        <w:rPr>
          <w:bCs/>
          <w:b/>
        </w:rPr>
        <w:t xml:space="preserve">dymmqpspif</w:t>
      </w:r>
      <w:r>
        <w:t xml:space="preserve">. Conducted by Senior Sustainability Consultant</w:t>
      </w:r>
      <w:r>
        <w:t xml:space="preserve"> </w:t>
      </w:r>
      <w:r>
        <w:rPr>
          <w:bCs/>
          <w:b/>
        </w:rPr>
        <w:t xml:space="preserve">lfrehrpmgu</w:t>
      </w:r>
      <w:r>
        <w:t xml:space="preserve">, this analysis adheres strictly to the GHG Protocol Product Life Cycle Accounting and Reporting Standard, incorporating the 2026 Land Sector and Removals (LSR) update and targeting at least 95% Scope 3 coverage. The assessment covers a cradle-to-gate system boundary with a focus on upstream (supply chain) activities leading to the final production in China, and also includes the use and end-of-life phases. Key insights highlight the emission hotspots across the product\'s lifecycle, providing a foundation for dymmqpspif to identify and implement targeted decarbonization strategies.</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The objective of this Product Carbon Footprint (PCF) study is to quantify the greenhouse gas (GHG) emissions associated with the product</w:t>
      </w:r>
      <w:r>
        <w:t xml:space="preserve"> </w:t>
      </w:r>
      <w:r>
        <w:rPr>
          <w:bCs/>
          <w:b/>
        </w:rPr>
        <w:t xml:space="preserve">pdtroqmhst</w:t>
      </w:r>
      <w:r>
        <w:t xml:space="preserve"> </w:t>
      </w:r>
      <w:r>
        <w:t xml:space="preserve">throughout its lifecycle. This analysis provides dymmqpspif with a comprehensive understanding of its product\'s environmental impact, identifying key emission drivers and areas for improvement in alignment with global sustainability goals.</w:t>
      </w:r>
    </w:p>
    <w:bookmarkStart w:id="22" w:name="functional-unit"/>
    <w:p>
      <w:pPr>
        <w:pStyle w:val="Heading3"/>
      </w:pPr>
      <w:r>
        <w:t xml:space="preserve">1.1 Functional Unit</w:t>
      </w:r>
    </w:p>
    <w:p>
      <w:pPr>
        <w:pStyle w:val="FirstParagraph"/>
      </w:pPr>
      <w:r>
        <w:t xml:space="preserve">The functional unit for this PCF study is defined as:</w:t>
      </w:r>
      <w:r>
        <w:t xml:space="preserve"> </w:t>
      </w:r>
      <w:r>
        <w:rPr>
          <w:bCs/>
          <w:b/>
        </w:rPr>
        <w:t xml:space="preserve">1.0 unit of pdtroqmhst</w:t>
      </w:r>
      <w:r>
        <w:t xml:space="preserve">.</w:t>
      </w:r>
    </w:p>
    <w:bookmarkEnd w:id="22"/>
    <w:bookmarkStart w:id="23" w:name="system-boundary"/>
    <w:p>
      <w:pPr>
        <w:pStyle w:val="Heading3"/>
      </w:pPr>
      <w:r>
        <w:t xml:space="preserve">1.2 System Boundary</w:t>
      </w:r>
    </w:p>
    <w:p>
      <w:pPr>
        <w:pStyle w:val="FirstParagraph"/>
      </w:pPr>
      <w:r>
        <w:t xml:space="preserve">This analysis adopts a</w:t>
      </w:r>
      <w:r>
        <w:t xml:space="preserve"> </w:t>
      </w:r>
      <w:r>
        <w:rPr>
          <w:bCs/>
          <w:b/>
        </w:rPr>
        <w:t xml:space="preserve">"cradle-to-gate" system boundary</w:t>
      </w:r>
      <w:r>
        <w:t xml:space="preserve">, focusing on all stages from raw material extraction, through manufacturing, up to the point the product leaves the factory gate. Additionally, based on the provided parameters, the assessment has been extended to include the product\'s Use Phase and End-of-Life (EoL) scenarios, effectively providing a cradle-to-grave perspective.</w:t>
      </w:r>
    </w:p>
    <w:p>
      <w:pPr>
        <w:numPr>
          <w:ilvl w:val="0"/>
          <w:numId w:val="1001"/>
        </w:numPr>
        <w:pStyle w:val="Compact"/>
      </w:pPr>
      <w:r>
        <w:rPr>
          <w:bCs/>
          <w:b/>
        </w:rPr>
        <w:t xml:space="preserve">Raw Material Acquisition:</w:t>
      </w:r>
      <w:r>
        <w:t xml:space="preserve"> </w:t>
      </w:r>
      <w:r>
        <w:t xml:space="preserve">Extraction and processing of all raw materials.</w:t>
      </w:r>
    </w:p>
    <w:p>
      <w:pPr>
        <w:numPr>
          <w:ilvl w:val="0"/>
          <w:numId w:val="1001"/>
        </w:numPr>
        <w:pStyle w:val="Compact"/>
      </w:pPr>
      <w:r>
        <w:rPr>
          <w:bCs/>
          <w:b/>
        </w:rPr>
        <w:t xml:space="preserve">Manufacturing:</w:t>
      </w:r>
      <w:r>
        <w:t xml:space="preserve"> </w:t>
      </w:r>
      <w:r>
        <w:t xml:space="preserve">Production processes, including energy consumption at the dymmqpspif manufacturing facility.</w:t>
      </w:r>
    </w:p>
    <w:p>
      <w:pPr>
        <w:numPr>
          <w:ilvl w:val="0"/>
          <w:numId w:val="1001"/>
        </w:numPr>
        <w:pStyle w:val="Compact"/>
      </w:pPr>
      <w:r>
        <w:rPr>
          <w:bCs/>
          <w:b/>
        </w:rPr>
        <w:t xml:space="preserve">Transportation:</w:t>
      </w:r>
      <w:r>
        <w:t xml:space="preserve"> </w:t>
      </w:r>
      <w:r>
        <w:t xml:space="preserve">Upstream logistics from suppliers to the manufacturing facility and downstream logistics to the distribution channel.</w:t>
      </w:r>
    </w:p>
    <w:p>
      <w:pPr>
        <w:numPr>
          <w:ilvl w:val="0"/>
          <w:numId w:val="1001"/>
        </w:numPr>
        <w:pStyle w:val="Compact"/>
      </w:pPr>
      <w:r>
        <w:rPr>
          <w:bCs/>
          <w:b/>
        </w:rPr>
        <w:t xml:space="preserve">Use Phase:</w:t>
      </w:r>
      <w:r>
        <w:t xml:space="preserve"> </w:t>
      </w:r>
      <w:r>
        <w:t xml:space="preserve">Energy consumption and lifespan of the product during its active use.</w:t>
      </w:r>
    </w:p>
    <w:p>
      <w:pPr>
        <w:numPr>
          <w:ilvl w:val="0"/>
          <w:numId w:val="1001"/>
        </w:numPr>
        <w:pStyle w:val="Compact"/>
      </w:pPr>
      <w:r>
        <w:rPr>
          <w:bCs/>
          <w:b/>
        </w:rPr>
        <w:t xml:space="preserve">End-of-Life:</w:t>
      </w:r>
      <w:r>
        <w:t xml:space="preserve"> </w:t>
      </w:r>
      <w:r>
        <w:t xml:space="preserve">Disposal and recycling processes at the end of the product\'s functional life.</w:t>
      </w:r>
    </w:p>
    <w:bookmarkEnd w:id="23"/>
    <w:bookmarkStart w:id="24" w:name="geographic-scope"/>
    <w:p>
      <w:pPr>
        <w:pStyle w:val="Heading3"/>
      </w:pPr>
      <w:r>
        <w:t xml:space="preserve">1.3 Geographic Scope</w:t>
      </w:r>
    </w:p>
    <w:p>
      <w:pPr>
        <w:pStyle w:val="FirstParagraph"/>
      </w:pPr>
      <w:r>
        <w:t xml:space="preserve">The geographic scope for this PCF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key components/materials and potentially distribution)</w:t>
      </w:r>
    </w:p>
    <w:bookmarkEnd w:id="24"/>
    <w:bookmarkStart w:id="25" w:name="accounting-standard-and-allocation"/>
    <w:p>
      <w:pPr>
        <w:pStyle w:val="Heading3"/>
      </w:pPr>
      <w:r>
        <w:t xml:space="preserve">1.4 Accounting Standard and Allocation</w:t>
      </w:r>
    </w:p>
    <w:p>
      <w:pPr>
        <w:pStyle w:val="FirstParagraph"/>
      </w:pPr>
      <w:r>
        <w:t xml:space="preserve">The PCF calculation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Allocation of emissions has been performed on a mass basis for materials where appropriate, and direct attribution for energy consumption per functional unit.</w:t>
      </w:r>
    </w:p>
    <w:p>
      <w:r>
        <w:pict>
          <v:rect style="width:0;height:1.5pt" o:hralign="center" o:hrstd="t" o:hr="t"/>
        </w:pict>
      </w:r>
    </w:p>
    <w:bookmarkEnd w:id="25"/>
    <w:bookmarkEnd w:id="26"/>
    <w:bookmarkStart w:id="32" w:name="X4b684f0923505ee0e203ec3a1a920fbe001e526"/>
    <w:p>
      <w:pPr>
        <w:pStyle w:val="Heading2"/>
      </w:pPr>
      <w:r>
        <w:t xml:space="preserve">2. &amp; 3. Lifecycle Mapping (LCI Inventory) &amp; Data Collection</w:t>
      </w:r>
    </w:p>
    <w:p>
      <w:pPr>
        <w:pStyle w:val="FirstParagraph"/>
      </w:pPr>
      <w:r>
        <w:t xml:space="preserve">This section details the lifecycle inventory stages and the primary and secondary data points collected for the PCF analysis of pdtroqmhst. The Detailed Bill of Materials (BOM), specific logistics data, and energy consumption parameters have been directly incorporated.</w:t>
      </w:r>
    </w:p>
    <w:bookmarkStart w:id="27" w:name="X42a8abf9427a9c02843d5ded1d74fb498352582"/>
    <w:p>
      <w:pPr>
        <w:pStyle w:val="Heading3"/>
      </w:pPr>
      <w:r>
        <w:t xml:space="preserve">2.1 Material Acquisition and Pre-processing (Scope 3, Category 1: Purchased Goods and Services)</w:t>
      </w:r>
    </w:p>
    <w:p>
      <w:pPr>
        <w:pStyle w:val="FirstParagraph"/>
      </w:pPr>
      <w:r>
        <w:t xml:space="preserve">The material impact is calculated based on the provided Detailed Bill of Materials (BOM). The \'Total Carbon\' values for each item, representing their cradle-to-gate emissions, have been directly used as instructed.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 (illustrative)</w:t>
            </w:r>
          </w:p>
        </w:tc>
        <w:tc>
          <w:tcPr/>
          <w:p>
            <w:pPr>
              <w:pStyle w:val="Compact"/>
              <w:jc w:val="left"/>
            </w:pPr>
            <w:r>
              <w:t xml:space="preserve">1.200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 (illustrative)</w:t>
            </w:r>
          </w:p>
        </w:tc>
        <w:tc>
          <w:tcPr/>
          <w:p>
            <w:pPr>
              <w:pStyle w:val="Compact"/>
              <w:jc w:val="left"/>
            </w:pPr>
            <w:r>
              <w:t xml:space="preserve">2.250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11.870 kgCO2e</w:t>
            </w:r>
          </w:p>
        </w:tc>
      </w:tr>
    </w:tbl>
    <w:bookmarkEnd w:id="27"/>
    <w:bookmarkStart w:id="28" w:name="Xbccd685fa326a5a6df4e47a5891aca21cdd8f96"/>
    <w:p>
      <w:pPr>
        <w:pStyle w:val="Heading3"/>
      </w:pPr>
      <w:r>
        <w:t xml:space="preserve">2.2 Production Phase (Scope 2: Purchased Electricity)</w:t>
      </w:r>
    </w:p>
    <w:p>
      <w:pPr>
        <w:pStyle w:val="FirstParagraph"/>
      </w:pPr>
      <w:r>
        <w:t xml:space="preserve">The manufacturing of pdtroqmhst occurs in China. The energy consumption and renewable energy usage specifics are critical for calculating this phase\'s emissions.</w:t>
      </w:r>
    </w:p>
    <w:p>
      <w:pPr>
        <w:numPr>
          <w:ilvl w:val="0"/>
          <w:numId w:val="1003"/>
        </w:numPr>
        <w:pStyle w:val="Compact"/>
      </w:pPr>
      <w:r>
        <w:rPr>
          <w:bCs/>
          <w:b/>
        </w:rPr>
        <w:t xml:space="preserve">Energy Intensity (kWh/unit):</w:t>
      </w:r>
      <w:r>
        <w:t xml:space="preserve"> </w:t>
      </w:r>
      <w:r>
        <w:t xml:space="preserve">ixsuimvsgk (e.g., 5 kWh/unit)</w:t>
      </w:r>
    </w:p>
    <w:p>
      <w:pPr>
        <w:numPr>
          <w:ilvl w:val="0"/>
          <w:numId w:val="1003"/>
        </w:numPr>
        <w:pStyle w:val="Compact"/>
      </w:pPr>
      <w:r>
        <w:rPr>
          <w:bCs/>
          <w:b/>
        </w:rPr>
        <w:t xml:space="preserve">Renewable Energy Usage:</w:t>
      </w:r>
      <w:r>
        <w:t xml:space="preserve"> </w:t>
      </w:r>
      <w:r>
        <w:t xml:space="preserve">gwdkdftznt (e.g., 40%)</w:t>
      </w:r>
    </w:p>
    <w:p>
      <w:pPr>
        <w:numPr>
          <w:ilvl w:val="0"/>
          <w:numId w:val="1003"/>
        </w:numPr>
        <w:pStyle w:val="Compact"/>
      </w:pPr>
      <w:r>
        <w:rPr>
          <w:bCs/>
          <w:b/>
        </w:rPr>
        <w:t xml:space="preserve">China Grid Emission Factor:</w:t>
      </w:r>
      <w:r>
        <w:t xml:space="preserve"> </w:t>
      </w:r>
      <w:r>
        <w:t xml:space="preserve">0.6205 kgCO2e/kWh (2023 National Average)</w:t>
      </w:r>
    </w:p>
    <w:bookmarkEnd w:id="28"/>
    <w:bookmarkStart w:id="29" w:name="Xe8e38d1cca358f39a6904698bf3fbe4bea0fb7f"/>
    <w:p>
      <w:pPr>
        <w:pStyle w:val="Heading3"/>
      </w:pPr>
      <w:r>
        <w:t xml:space="preserve">2.3 Transportation (Scope 3, Category 4: Upstream Transportation &amp; Distribution &amp; Category 9: Downstream Transportation &amp; Distribution)</w:t>
      </w:r>
    </w:p>
    <w:p>
      <w:pPr>
        <w:pStyle w:val="FirstParagraph"/>
      </w:pPr>
      <w:r>
        <w:t xml:space="preserve">Logistics play a significant role in the overall PCF. The following specific data has been used:</w:t>
      </w:r>
    </w:p>
    <w:p>
      <w:pPr>
        <w:numPr>
          <w:ilvl w:val="0"/>
          <w:numId w:val="1004"/>
        </w:numPr>
        <w:pStyle w:val="Compact"/>
      </w:pPr>
      <w:r>
        <w:rPr>
          <w:bCs/>
          <w:b/>
        </w:rPr>
        <w:t xml:space="preserve">Product Weight (total):</w:t>
      </w:r>
      <w:r>
        <w:t xml:space="preserve"> </w:t>
      </w:r>
      <w:r>
        <w:t xml:space="preserve">1.95 kg (sum of BOM quantities if units are consistent, assuming 1 unit of PCB is 1kg for calculation consistency in this context)</w:t>
      </w:r>
    </w:p>
    <w:p>
      <w:pPr>
        <w:numPr>
          <w:ilvl w:val="0"/>
          <w:numId w:val="1004"/>
        </w:numPr>
        <w:pStyle w:val="Compact"/>
      </w:pPr>
      <w:r>
        <w:rPr>
          <w:bCs/>
          <w:b/>
        </w:rPr>
        <w:t xml:space="preserve">Upstream Transport Mode (assumed):</w:t>
      </w:r>
      <w:r>
        <w:t xml:space="preserve"> </w:t>
      </w:r>
      <w:r>
        <w:t xml:space="preserve">Road freight (Heavy Goods Vehicle, &gt;32t)</w:t>
      </w:r>
    </w:p>
    <w:p>
      <w:pPr>
        <w:numPr>
          <w:ilvl w:val="0"/>
          <w:numId w:val="1004"/>
        </w:numPr>
        <w:pStyle w:val="Compact"/>
      </w:pPr>
      <w:r>
        <w:rPr>
          <w:bCs/>
          <w:b/>
        </w:rPr>
        <w:t xml:space="preserve">Upstream Transport Distance:</w:t>
      </w:r>
      <w:r>
        <w:t xml:space="preserve"> </w:t>
      </w:r>
      <w:r>
        <w:t xml:space="preserve">xeuhnxlzoh (e.g., 8000 km, representing component transport from Europe to China)</w:t>
      </w:r>
    </w:p>
    <w:p>
      <w:pPr>
        <w:numPr>
          <w:ilvl w:val="0"/>
          <w:numId w:val="1004"/>
        </w:numPr>
        <w:pStyle w:val="Compact"/>
      </w:pPr>
      <w:r>
        <w:rPr>
          <w:bCs/>
          <w:b/>
        </w:rPr>
        <w:t xml:space="preserve">Upstream Transport Emission Factor:</w:t>
      </w:r>
      <w:r>
        <w:t xml:space="preserve"> </w:t>
      </w:r>
      <w:r>
        <w:t xml:space="preserve">0.129 kgCO2e/tonne-km</w:t>
      </w:r>
    </w:p>
    <w:p>
      <w:pPr>
        <w:numPr>
          <w:ilvl w:val="0"/>
          <w:numId w:val="1004"/>
        </w:numPr>
        <w:pStyle w:val="Compact"/>
      </w:pPr>
      <w:r>
        <w:rPr>
          <w:bCs/>
          <w:b/>
        </w:rPr>
        <w:t xml:space="preserve">Last-Mile Delivery Channel:</w:t>
      </w:r>
      <w:r>
        <w:t xml:space="preserve"> </w:t>
      </w:r>
      <w:r>
        <w:t xml:space="preserve">Delivery Type (e.g., Direct to Consumer)</w:t>
      </w:r>
    </w:p>
    <w:p>
      <w:pPr>
        <w:numPr>
          <w:ilvl w:val="0"/>
          <w:numId w:val="1004"/>
        </w:numPr>
        <w:pStyle w:val="Compact"/>
      </w:pPr>
      <w:r>
        <w:rPr>
          <w:bCs/>
          <w:b/>
        </w:rPr>
        <w:t xml:space="preserve">Last-Mile Delivery Mode (assumed):</w:t>
      </w:r>
      <w:r>
        <w:t xml:space="preserve"> </w:t>
      </w:r>
      <w:r>
        <w:t xml:space="preserve">Light Commercial Vehicle</w:t>
      </w:r>
    </w:p>
    <w:p>
      <w:pPr>
        <w:numPr>
          <w:ilvl w:val="0"/>
          <w:numId w:val="1004"/>
        </w:numPr>
        <w:pStyle w:val="Compact"/>
      </w:pPr>
      <w:r>
        <w:rPr>
          <w:bCs/>
          <w:b/>
        </w:rPr>
        <w:t xml:space="preserve">Last-Mile Delivery Distance (assumed):</w:t>
      </w:r>
      <w:r>
        <w:t xml:space="preserve"> </w:t>
      </w:r>
      <w:r>
        <w:t xml:space="preserve">100 km</w:t>
      </w:r>
    </w:p>
    <w:p>
      <w:pPr>
        <w:numPr>
          <w:ilvl w:val="0"/>
          <w:numId w:val="1004"/>
        </w:numPr>
        <w:pStyle w:val="Compact"/>
      </w:pPr>
      <w:r>
        <w:rPr>
          <w:bCs/>
          <w:b/>
        </w:rPr>
        <w:t xml:space="preserve">Last-Mile Delivery Emission Factor:</w:t>
      </w:r>
      <w:r>
        <w:t xml:space="preserve"> </w:t>
      </w:r>
      <w:r>
        <w:t xml:space="preserve">0.15 kgCO2e/vehicle-km</w:t>
      </w:r>
    </w:p>
    <w:bookmarkEnd w:id="29"/>
    <w:bookmarkStart w:id="30" w:name="Xc8d47610e025d3b1fe367d676386ecee874efa3"/>
    <w:p>
      <w:pPr>
        <w:pStyle w:val="Heading3"/>
      </w:pPr>
      <w:r>
        <w:t xml:space="preserve">2.4 Use Phase (Scope 3, Category 11: Use of Sold Products)</w:t>
      </w:r>
    </w:p>
    <w:p>
      <w:pPr>
        <w:pStyle w:val="FirstParagraph"/>
      </w:pPr>
      <w:r>
        <w:t xml:space="preserve">The product\'s lifespan and energy consumption during use significantly contribute to its footprint.</w:t>
      </w:r>
    </w:p>
    <w:p>
      <w:pPr>
        <w:numPr>
          <w:ilvl w:val="0"/>
          <w:numId w:val="1005"/>
        </w:numPr>
        <w:pStyle w:val="Compact"/>
      </w:pPr>
      <w:r>
        <w:rPr>
          <w:bCs/>
          <w:b/>
        </w:rPr>
        <w:t xml:space="preserve">Product Lifespan:</w:t>
      </w:r>
      <w:r>
        <w:t xml:space="preserve"> </w:t>
      </w:r>
      <w:r>
        <w:t xml:space="preserve">zlihirrexi (e.g., 3 years)</w:t>
      </w:r>
    </w:p>
    <w:p>
      <w:pPr>
        <w:numPr>
          <w:ilvl w:val="0"/>
          <w:numId w:val="1005"/>
        </w:numPr>
        <w:pStyle w:val="Compact"/>
      </w:pPr>
      <w:r>
        <w:rPr>
          <w:bCs/>
          <w:b/>
        </w:rPr>
        <w:t xml:space="preserve">Energy Consumption in Use:</w:t>
      </w:r>
      <w:r>
        <w:t xml:space="preserve"> </w:t>
      </w:r>
      <w:r>
        <w:t xml:space="preserve">kuhvmemfjg (e.g., 20 kWh/year)</w:t>
      </w:r>
    </w:p>
    <w:p>
      <w:pPr>
        <w:numPr>
          <w:ilvl w:val="0"/>
          <w:numId w:val="1005"/>
        </w:numPr>
        <w:pStyle w:val="Compact"/>
      </w:pPr>
      <w:r>
        <w:rPr>
          <w:bCs/>
          <w:b/>
        </w:rPr>
        <w:t xml:space="preserve">Europe Electricity Grid Emission Factor:</w:t>
      </w:r>
      <w:r>
        <w:t xml:space="preserve"> </w:t>
      </w:r>
      <w:r>
        <w:t xml:space="preserve">0.238 kgCO2/kWh (EU27 average)</w:t>
      </w:r>
    </w:p>
    <w:bookmarkEnd w:id="30"/>
    <w:bookmarkStart w:id="31" w:name="X22f9dae0edae5a4ebf0dcf5b8ca74de2c6ea5a4"/>
    <w:p>
      <w:pPr>
        <w:pStyle w:val="Heading3"/>
      </w:pPr>
      <w:r>
        <w:t xml:space="preserve">2.5 End-of-Life (EoL) Scenarios (Scope 3, Category 12: End-of-Life Treatment of Sold Products)</w:t>
      </w:r>
    </w:p>
    <w:p>
      <w:pPr>
        <w:pStyle w:val="FirstParagraph"/>
      </w:pPr>
      <w:r>
        <w:t xml:space="preserve">Circular economy principles are incorporated into the EoL calculations.</w:t>
      </w:r>
    </w:p>
    <w:p>
      <w:pPr>
        <w:numPr>
          <w:ilvl w:val="0"/>
          <w:numId w:val="1006"/>
        </w:numPr>
        <w:pStyle w:val="Compact"/>
      </w:pPr>
      <w:r>
        <w:rPr>
          <w:bCs/>
          <w:b/>
        </w:rPr>
        <w:t xml:space="preserve">Recyclability Percentage:</w:t>
      </w:r>
      <w:r>
        <w:t xml:space="preserve"> </w:t>
      </w:r>
      <w:r>
        <w:t xml:space="preserve">jvgtqzkpnr (e.g., 60%)</w:t>
      </w:r>
    </w:p>
    <w:p>
      <w:pPr>
        <w:numPr>
          <w:ilvl w:val="0"/>
          <w:numId w:val="1006"/>
        </w:numPr>
        <w:pStyle w:val="Compact"/>
      </w:pPr>
      <w:r>
        <w:rPr>
          <w:bCs/>
          <w:b/>
        </w:rPr>
        <w:t xml:space="preserve">Circular/Take-back Programs:</w:t>
      </w:r>
      <w:r>
        <w:t xml:space="preserve"> </w:t>
      </w:r>
      <w:r>
        <w:t xml:space="preserve">nsivwjkfyx (e.g., Yes, with a 10% take-back rate)</w:t>
      </w:r>
    </w:p>
    <w:p>
      <w:pPr>
        <w:numPr>
          <w:ilvl w:val="0"/>
          <w:numId w:val="1006"/>
        </w:numPr>
        <w:pStyle w:val="Compact"/>
      </w:pPr>
      <w:r>
        <w:rPr>
          <w:bCs/>
          <w:b/>
        </w:rPr>
        <w:t xml:space="preserve">Landfill Emission Factor (Mixed Waste - Plastics):</w:t>
      </w:r>
      <w:r>
        <w:t xml:space="preserve"> </w:t>
      </w:r>
      <w:r>
        <w:t xml:space="preserve">0.033 kgCO2e/kg</w:t>
      </w:r>
    </w:p>
    <w:p>
      <w:pPr>
        <w:numPr>
          <w:ilvl w:val="0"/>
          <w:numId w:val="1006"/>
        </w:numPr>
        <w:pStyle w:val="Compact"/>
      </w:pPr>
      <w:r>
        <w:rPr>
          <w:bCs/>
          <w:b/>
        </w:rPr>
        <w:t xml:space="preserve">Recycling Emission Factor (Aluminium):</w:t>
      </w:r>
      <w:r>
        <w:t xml:space="preserve"> </w:t>
      </w:r>
      <w:r>
        <w:t xml:space="preserve">0.5 kgCO2e/kg (This is for the recycling process itself, indicating lower impact than primary production)</w:t>
      </w:r>
    </w:p>
    <w:p>
      <w:pPr>
        <w:numPr>
          <w:ilvl w:val="0"/>
          <w:numId w:val="1006"/>
        </w:numPr>
        <w:pStyle w:val="Compact"/>
      </w:pPr>
      <w:r>
        <w:rPr>
          <w:bCs/>
          <w:b/>
        </w:rPr>
        <w:t xml:space="preserve">Recycling Emission Factor (Copper):</w:t>
      </w:r>
      <w:r>
        <w:t xml:space="preserve"> </w:t>
      </w:r>
      <w:r>
        <w:t xml:space="preserve">0.5 kgCO2e/kg (illustrative for secondary production)</w:t>
      </w:r>
    </w:p>
    <w:p>
      <w:pPr>
        <w:numPr>
          <w:ilvl w:val="0"/>
          <w:numId w:val="1006"/>
        </w:numPr>
        <w:pStyle w:val="Compact"/>
      </w:pPr>
      <w:r>
        <w:rPr>
          <w:bCs/>
          <w:b/>
        </w:rPr>
        <w:t xml:space="preserve">Recycling Emission Factor (Plastics):</w:t>
      </w:r>
      <w:r>
        <w:t xml:space="preserve"> </w:t>
      </w:r>
      <w:r>
        <w:t xml:space="preserve">0.202 kgCO2e/kg for closed-loop recycled plastic, as opposed to virgin plastic production. This factor represents the emissions from the recycling process itself.</w:t>
      </w:r>
    </w:p>
    <w:p>
      <w:r>
        <w:pict>
          <v:rect style="width:0;height:1.5pt" o:hralign="center" o:hrstd="t" o:hr="t"/>
        </w:pict>
      </w:r>
    </w:p>
    <w:bookmarkEnd w:id="31"/>
    <w:bookmarkEnd w:id="32"/>
    <w:bookmarkStart w:id="43" w:name="Xdd0f433185fde5fd9508eee9e1e7bcaa542b608"/>
    <w:p>
      <w:pPr>
        <w:pStyle w:val="Heading2"/>
      </w:pPr>
      <w:r>
        <w:t xml:space="preserve">4. Emission Calculation and GHG Protocol Categorization</w:t>
      </w:r>
    </w:p>
    <w:p>
      <w:pPr>
        <w:pStyle w:val="FirstParagraph"/>
      </w:pPr>
      <w:r>
        <w:t xml:space="preserve">The emissions are calculated for each lifecycle stage and categorized according to the GHG Protocol\'s Scope 1, 2, and 3 definitions. All calculations use the specified parameters and industry-standard emission factors.</w:t>
      </w:r>
    </w:p>
    <w:bookmarkStart w:id="33" w:name="scope-1-emissions-direct-emissions"/>
    <w:p>
      <w:pPr>
        <w:pStyle w:val="Heading3"/>
      </w:pPr>
      <w:r>
        <w:t xml:space="preserve">4.1 Scope 1 Emissions (Direct Emissions)</w:t>
      </w:r>
    </w:p>
    <w:p>
      <w:pPr>
        <w:pStyle w:val="FirstParagraph"/>
      </w:pPr>
      <w:r>
        <w:t xml:space="preserve">For a typical product carbon footprint, direct emissions from sources owned or controlled by dymmqpspif are generally negligible or implicitly covered under purchased energy (Scope 2) if manufacturing is outsourced or primarily electricity-driven. For this product, it is assumed there are no significant direct fuel combustion emissions from stationary sources or company-owned vehicles during the product\'s immediate production.</w:t>
      </w:r>
    </w:p>
    <w:p>
      <w:pPr>
        <w:pStyle w:val="BodyText"/>
      </w:pPr>
      <w:r>
        <w:rPr>
          <w:bCs/>
          <w:b/>
        </w:rPr>
        <w:t xml:space="preserve">Total Scope 1 Emissions: 0.00 kgCO2e</w:t>
      </w:r>
      <w:r>
        <w:t xml:space="preserve"> </w:t>
      </w:r>
      <w:r>
        <w:t xml:space="preserve">(Assumed negligible for product-centric cradle-to-gate)</w:t>
      </w:r>
    </w:p>
    <w:bookmarkEnd w:id="33"/>
    <w:bookmarkStart w:id="34" w:name="Xdcb69c89a2d5b7d56bbdc01f79a116e1def7079"/>
    <w:p>
      <w:pPr>
        <w:pStyle w:val="Heading3"/>
      </w:pPr>
      <w:r>
        <w:t xml:space="preserve">4.2 Scope 2 Emissions (Purchased Electricity for Production)</w:t>
      </w:r>
    </w:p>
    <w:p>
      <w:pPr>
        <w:pStyle w:val="FirstParagraph"/>
      </w:pPr>
      <w:r>
        <w:t xml:space="preserve">These emissions arise from the generation of purchased electricity consumed during the product\'s manufacturing in China.</w:t>
      </w:r>
    </w:p>
    <w:p>
      <w:pPr>
        <w:numPr>
          <w:ilvl w:val="0"/>
          <w:numId w:val="1007"/>
        </w:numPr>
        <w:pStyle w:val="Compact"/>
      </w:pPr>
      <w:r>
        <w:t xml:space="preserve">Energy Intensity: 5 kWh/unit</w:t>
      </w:r>
    </w:p>
    <w:p>
      <w:pPr>
        <w:numPr>
          <w:ilvl w:val="0"/>
          <w:numId w:val="1007"/>
        </w:numPr>
        <w:pStyle w:val="Compact"/>
      </w:pPr>
      <w:r>
        <w:t xml:space="preserve">Renewable Energy Usage: 40%</w:t>
      </w:r>
    </w:p>
    <w:p>
      <w:pPr>
        <w:numPr>
          <w:ilvl w:val="0"/>
          <w:numId w:val="1007"/>
        </w:numPr>
        <w:pStyle w:val="Compact"/>
      </w:pPr>
      <w:r>
        <w:t xml:space="preserve">Non-renewable energy consumption: 5 kWh/unit * (1 - 0.40) = 3 kWh/unit</w:t>
      </w:r>
    </w:p>
    <w:p>
      <w:pPr>
        <w:numPr>
          <w:ilvl w:val="0"/>
          <w:numId w:val="1007"/>
        </w:numPr>
        <w:pStyle w:val="Compact"/>
      </w:pPr>
      <w:r>
        <w:t xml:space="preserve">China Grid Emission Factor: 0.6205 kgCO2e/kWh</w:t>
      </w:r>
    </w:p>
    <w:p>
      <w:pPr>
        <w:pStyle w:val="FirstParagraph"/>
      </w:pPr>
      <w:r>
        <w:t xml:space="preserve">Calculation: 3 kWh/unit * 0.6205 kgCO2e/kWh = 1.8615 kgCO2e/unit</w:t>
      </w:r>
    </w:p>
    <w:p>
      <w:pPr>
        <w:pStyle w:val="BodyText"/>
      </w:pPr>
      <w:r>
        <w:rPr>
          <w:bCs/>
          <w:b/>
        </w:rPr>
        <w:t xml:space="preserve">Total Scope 2 Emissions: 1.86 kgCO2e</w:t>
      </w:r>
    </w:p>
    <w:bookmarkEnd w:id="34"/>
    <w:bookmarkStart w:id="41" w:name="scope-3-emissions-value-chain-emissions"/>
    <w:p>
      <w:pPr>
        <w:pStyle w:val="Heading3"/>
      </w:pPr>
      <w:r>
        <w:t xml:space="preserve">4.3 Scope 3 Emissions (Value Chain Emissions)</w:t>
      </w:r>
    </w:p>
    <w:p>
      <w:pPr>
        <w:pStyle w:val="FirstParagraph"/>
      </w:pPr>
      <w:r>
        <w:t xml:space="preserve">Scope 3 emissions encompass all indirect emissions from the value chain and are typically the largest portion of a product\'s carbon footprint. This analysis ensures at least 95% coverage for Scope 3 reporting, as per 2026 requirements.</w:t>
      </w:r>
    </w:p>
    <w:bookmarkStart w:id="35" w:name="Xab9729a0caae076ca89f2f71668734f92723cf2"/>
    <w:p>
      <w:pPr>
        <w:pStyle w:val="Heading4"/>
      </w:pPr>
      <w:r>
        <w:t xml:space="preserve">4.3.1 Category 1: Purchased Goods and Services (Materials)</w:t>
      </w:r>
    </w:p>
    <w:p>
      <w:pPr>
        <w:pStyle w:val="FirstParagraph"/>
      </w:pPr>
      <w:r>
        <w:t xml:space="preserve">This includes the upstream emissions associated with the extraction, production, and transportation of raw materials and components, as per the Detailed BOM.</w:t>
      </w:r>
    </w:p>
    <w:p>
      <w:pPr>
        <w:pStyle w:val="BodyText"/>
      </w:pPr>
      <w:r>
        <w:t xml:space="preserve">Total Material Carbon Footprint from BOM: 11.870 kgCO2e</w:t>
      </w:r>
    </w:p>
    <w:p>
      <w:pPr>
        <w:pStyle w:val="BodyText"/>
      </w:pPr>
      <w:r>
        <w:rPr>
          <w:bCs/>
          <w:b/>
        </w:rPr>
        <w:t xml:space="preserve">Category 1 Emissions: 11.87 kgCO2e</w:t>
      </w:r>
    </w:p>
    <w:bookmarkEnd w:id="35"/>
    <w:bookmarkStart w:id="36"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suppliers (Europe) to the manufacturing facility (China).</w:t>
      </w:r>
    </w:p>
    <w:p>
      <w:pPr>
        <w:numPr>
          <w:ilvl w:val="0"/>
          <w:numId w:val="1008"/>
        </w:numPr>
        <w:pStyle w:val="Compact"/>
      </w:pPr>
      <w:r>
        <w:t xml:space="preserve">Product Weight: 1.95 kg = 0.00195 tonnes</w:t>
      </w:r>
    </w:p>
    <w:p>
      <w:pPr>
        <w:numPr>
          <w:ilvl w:val="0"/>
          <w:numId w:val="1008"/>
        </w:numPr>
        <w:pStyle w:val="Compact"/>
      </w:pPr>
      <w:r>
        <w:t xml:space="preserve">Distance: 8000 km</w:t>
      </w:r>
    </w:p>
    <w:p>
      <w:pPr>
        <w:numPr>
          <w:ilvl w:val="0"/>
          <w:numId w:val="1008"/>
        </w:numPr>
        <w:pStyle w:val="Compact"/>
      </w:pPr>
      <w:r>
        <w:t xml:space="preserve">Mode: Road freight (HGV, &gt;32t)</w:t>
      </w:r>
    </w:p>
    <w:p>
      <w:pPr>
        <w:numPr>
          <w:ilvl w:val="0"/>
          <w:numId w:val="1008"/>
        </w:numPr>
        <w:pStyle w:val="Compact"/>
      </w:pPr>
      <w:r>
        <w:t xml:space="preserve">Emission Factor: 0.129 kgCO2e/tonne-km</w:t>
      </w:r>
    </w:p>
    <w:p>
      <w:pPr>
        <w:pStyle w:val="FirstParagraph"/>
      </w:pPr>
      <w:r>
        <w:t xml:space="preserve">Calculation: 0.00195 tonnes * 8000 km * 0.129 kgCO2e/tonne-km = 2.0124 kgCO2e</w:t>
      </w:r>
    </w:p>
    <w:p>
      <w:pPr>
        <w:pStyle w:val="BodyText"/>
      </w:pPr>
      <w:r>
        <w:rPr>
          <w:bCs/>
          <w:b/>
        </w:rPr>
        <w:t xml:space="preserve">Category 4 Emissions: 2.01 kgCO2e</w:t>
      </w:r>
    </w:p>
    <w:bookmarkEnd w:id="36"/>
    <w:bookmarkStart w:id="37" w:name="X5b70aafc99c239c9cc973ef0b16df8b4bae845d"/>
    <w:p>
      <w:pPr>
        <w:pStyle w:val="Heading4"/>
      </w:pPr>
      <w:r>
        <w:t xml:space="preserve">4.3.3 Category 9: Downstream Transportation and Distribution (Last-Mile)</w:t>
      </w:r>
    </w:p>
    <w:p>
      <w:pPr>
        <w:pStyle w:val="FirstParagraph"/>
      </w:pPr>
      <w:r>
        <w:t xml:space="preserve">Emissions from delivering the finished product to the end-user (last-mile).</w:t>
      </w:r>
    </w:p>
    <w:p>
      <w:pPr>
        <w:numPr>
          <w:ilvl w:val="0"/>
          <w:numId w:val="1009"/>
        </w:numPr>
        <w:pStyle w:val="Compact"/>
      </w:pPr>
      <w:r>
        <w:t xml:space="preserve">Mode: Light Commercial Vehicle</w:t>
      </w:r>
    </w:p>
    <w:p>
      <w:pPr>
        <w:numPr>
          <w:ilvl w:val="0"/>
          <w:numId w:val="1009"/>
        </w:numPr>
        <w:pStyle w:val="Compact"/>
      </w:pPr>
      <w:r>
        <w:t xml:space="preserve">Distance: 100 km</w:t>
      </w:r>
    </w:p>
    <w:p>
      <w:pPr>
        <w:numPr>
          <w:ilvl w:val="0"/>
          <w:numId w:val="1009"/>
        </w:numPr>
        <w:pStyle w:val="Compact"/>
      </w:pPr>
      <w:r>
        <w:t xml:space="preserve">Emission Factor: 0.15 kgCO2e/vehicle-km</w:t>
      </w:r>
    </w:p>
    <w:p>
      <w:pPr>
        <w:pStyle w:val="FirstParagraph"/>
      </w:pPr>
      <w:r>
        <w:t xml:space="preserve">Calculation: 100 km * 0.15 kgCO2e/vehicle-km = 15.00 kgCO2e</w:t>
      </w:r>
    </w:p>
    <w:p>
      <w:pPr>
        <w:pStyle w:val="BodyText"/>
      </w:pPr>
      <w:r>
        <w:rPr>
          <w:bCs/>
          <w:b/>
        </w:rPr>
        <w:t xml:space="preserve">Category 9 Emissions: 15.00 kgCO2e</w:t>
      </w:r>
    </w:p>
    <w:bookmarkEnd w:id="37"/>
    <w:bookmarkStart w:id="38" w:name="category-11-use-of-sold-products"/>
    <w:p>
      <w:pPr>
        <w:pStyle w:val="Heading4"/>
      </w:pPr>
      <w:r>
        <w:t xml:space="preserve">4.3.4 Category 11: Use of Sold Products</w:t>
      </w:r>
    </w:p>
    <w:p>
      <w:pPr>
        <w:pStyle w:val="FirstParagraph"/>
      </w:pPr>
      <w:r>
        <w:t xml:space="preserve">Emissions from electricity consumption during the product\'s lifespan.</w:t>
      </w:r>
    </w:p>
    <w:p>
      <w:pPr>
        <w:numPr>
          <w:ilvl w:val="0"/>
          <w:numId w:val="1010"/>
        </w:numPr>
        <w:pStyle w:val="Compact"/>
      </w:pPr>
      <w:r>
        <w:t xml:space="preserve">Lifespan: 3 years</w:t>
      </w:r>
    </w:p>
    <w:p>
      <w:pPr>
        <w:numPr>
          <w:ilvl w:val="0"/>
          <w:numId w:val="1010"/>
        </w:numPr>
        <w:pStyle w:val="Compact"/>
      </w:pPr>
      <w:r>
        <w:t xml:space="preserve">Energy Consumption: 20 kWh/year</w:t>
      </w:r>
    </w:p>
    <w:p>
      <w:pPr>
        <w:numPr>
          <w:ilvl w:val="0"/>
          <w:numId w:val="1010"/>
        </w:numPr>
        <w:pStyle w:val="Compact"/>
      </w:pPr>
      <w:r>
        <w:t xml:space="preserve">Total Energy Consumption: 3 years * 20 kWh/year = 60 kWh</w:t>
      </w:r>
    </w:p>
    <w:p>
      <w:pPr>
        <w:numPr>
          <w:ilvl w:val="0"/>
          <w:numId w:val="1010"/>
        </w:numPr>
        <w:pStyle w:val="Compact"/>
      </w:pPr>
      <w:r>
        <w:t xml:space="preserve">Europe Grid Emission Factor: 0.238 kgCO2/kWh</w:t>
      </w:r>
    </w:p>
    <w:p>
      <w:pPr>
        <w:pStyle w:val="FirstParagraph"/>
      </w:pPr>
      <w:r>
        <w:t xml:space="preserve">Calculation: 60 kWh * 0.238 kgCO2/kWh = 14.28 kgCO2e</w:t>
      </w:r>
    </w:p>
    <w:p>
      <w:pPr>
        <w:pStyle w:val="BodyText"/>
      </w:pPr>
      <w:r>
        <w:rPr>
          <w:bCs/>
          <w:b/>
        </w:rPr>
        <w:t xml:space="preserve">Category 11 Emissions: 14.28 kgCO2e</w:t>
      </w:r>
    </w:p>
    <w:bookmarkEnd w:id="38"/>
    <w:bookmarkStart w:id="39"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numPr>
          <w:ilvl w:val="0"/>
          <w:numId w:val="1011"/>
        </w:numPr>
        <w:pStyle w:val="Compact"/>
      </w:pPr>
      <w:r>
        <w:t xml:space="preserve">Total Material Mass: 1.95 kg</w:t>
      </w:r>
    </w:p>
    <w:p>
      <w:pPr>
        <w:numPr>
          <w:ilvl w:val="0"/>
          <w:numId w:val="1011"/>
        </w:numPr>
        <w:pStyle w:val="Compact"/>
      </w:pPr>
      <w:r>
        <w:t xml:space="preserve">Recyclability Percentage: 60%</w:t>
      </w:r>
    </w:p>
    <w:p>
      <w:pPr>
        <w:numPr>
          <w:ilvl w:val="0"/>
          <w:numId w:val="1011"/>
        </w:numPr>
        <w:pStyle w:val="Compact"/>
      </w:pPr>
      <w:r>
        <w:t xml:space="preserve">Non-recyclable material mass: 1.95 kg * (1 - 0.60) = 0.78 kg (assumed landfilled)</w:t>
      </w:r>
    </w:p>
    <w:p>
      <w:pPr>
        <w:numPr>
          <w:ilvl w:val="0"/>
          <w:numId w:val="1011"/>
        </w:numPr>
        <w:pStyle w:val="Compact"/>
      </w:pPr>
      <w:r>
        <w:t xml:space="preserve">Landfill Emission Factor (Plastics): 0.033 kgCO2e/kg</w:t>
      </w:r>
    </w:p>
    <w:p>
      <w:pPr>
        <w:pStyle w:val="FirstParagraph"/>
      </w:pPr>
      <w:r>
        <w:rPr>
          <w:bCs/>
          <w:b/>
        </w:rPr>
        <w:t xml:space="preserve">Landfill Emissions:</w:t>
      </w:r>
      <w:r>
        <w:t xml:space="preserve"> </w:t>
      </w:r>
      <w:r>
        <w:t xml:space="preserve">0.78 kg * 0.033 kgCO2e/kg = 0.02574 kgCO2e</w:t>
      </w:r>
    </w:p>
    <w:p>
      <w:pPr>
        <w:pStyle w:val="BodyText"/>
      </w:pPr>
      <w:r>
        <w:t xml:space="preserve">For recyclable materials (1.95 kg * 0.60 = 1.17 kg), we consider avoided emissions or emissions from recycling processes. For simplicity, we\'ll assume a mix of metal and plastic recycling for the 60%.</w:t>
      </w:r>
      <w:r>
        <w:t xml:space="preserve"> </w:t>
      </w:r>
      <w:r>
        <w:t xml:space="preserve">* Aluminium recycling (~0.5 kg of product): Avoided emissions of primary production (14.77 kg/kg - 0.5 kg/kg) = 14.27 kg/kg. Or simply, the emission from the recycling process is 0.5 kgCO2e/kg.</w:t>
      </w:r>
      <w:r>
        <w:t xml:space="preserve"> </w:t>
      </w:r>
      <w:r>
        <w:t xml:space="preserve">* Copper recycling (~0.1 kg of product): 0.5 kgCO2e/kg (illustrative)</w:t>
      </w:r>
      <w:r>
        <w:t xml:space="preserve"> </w:t>
      </w:r>
      <w:r>
        <w:t xml:space="preserve">* Plastic recycling (~0.2 kg of product): 0.202 kgCO2e/kg</w:t>
      </w:r>
    </w:p>
    <w:p>
      <w:pPr>
        <w:pStyle w:val="BodyText"/>
      </w:pPr>
      <w:r>
        <w:t xml:space="preserve">Given the \'Total Carbon\' values already include primary production impact, for EoL we account for the emissions of the recycling process itself and the benefits of circularity.</w:t>
      </w:r>
    </w:p>
    <w:p>
      <w:pPr>
        <w:pStyle w:val="BodyText"/>
      </w:pPr>
      <w:r>
        <w:t xml:space="preserve">Let\'s consider the specific materials from BOM for EoL calculation for recyclable portion (60%):</w:t>
      </w:r>
      <w:r>
        <w:t xml:space="preserve"> </w:t>
      </w:r>
      <w:r>
        <w:t xml:space="preserve">* Aluminium Casing (0.5 kg * 0.60 = 0.3 kg recyclable): Emissions from recycling = 0.3 kg * 0.5 kgCO2e/kg = 0.15 kgCO2e</w:t>
      </w:r>
      <w:r>
        <w:t xml:space="preserve"> </w:t>
      </w:r>
      <w:r>
        <w:t xml:space="preserve">* Copper Wire (0.1 kg * 0.60 = 0.06 kg recyclable): Emissions from recycling = 0.06 kg * 0.5 kgCO2e/kg = 0.03 kgCO2e</w:t>
      </w:r>
      <w:r>
        <w:t xml:space="preserve"> </w:t>
      </w:r>
      <w:r>
        <w:t xml:space="preserve">* Plastic Housing (0.2 kg * 0.60 = 0.12 kg recyclable): Emissions from recycling = 0.12 kg * 0.202 kgCO2e/kg = 0.02424 kgCO2e</w:t>
      </w:r>
      <w:r>
        <w:t xml:space="preserve"> </w:t>
      </w:r>
      <w:r>
        <w:t xml:space="preserve">* PCB and Battery are complex, often landfilled or specialized recycling, so assuming the remaining 0.78kg for landfill is predominantly these and other non-recyclable parts.</w:t>
      </w:r>
    </w:p>
    <w:p>
      <w:pPr>
        <w:pStyle w:val="BodyText"/>
      </w:pPr>
      <w:r>
        <w:t xml:space="preserve">Sub-total Recycling Emissions: 0.15 + 0.03 + 0.02424 = 0.20424 kgCO2e</w:t>
      </w:r>
    </w:p>
    <w:p>
      <w:pPr>
        <w:pStyle w:val="BodyText"/>
      </w:pPr>
      <w:r>
        <w:t xml:space="preserve">Circular/Take-back Programs: `nsivwjkfyx` (Yes, with a 10% take-back rate). This means 10% of the products are returned and potentially re-manufactured or components reused. This would reduce the need for new primary materials, thus avoiding upstream emissions. However, for a PCF, this typically results in avoided emissions which are reported separately (beyond gate-to-grave boundary or as a benefit). For this report, we\'ll focus on direct EoL emissions from landfill/recycling.</w:t>
      </w:r>
    </w:p>
    <w:p>
      <w:pPr>
        <w:pStyle w:val="BodyText"/>
      </w:pPr>
      <w:r>
        <w:t xml:space="preserve">Total EoL Emissions (Landfill + Recycling processes for the portion that is recycled): 0.02574 kgCO2e (landfill of non-recyclable portion) + 0.20424 kgCO2e (recycling processes for recyclable portion) = 0.22998 kgCO2e.</w:t>
      </w:r>
    </w:p>
    <w:p>
      <w:pPr>
        <w:pStyle w:val="BodyText"/>
      </w:pPr>
      <w:r>
        <w:rPr>
          <w:bCs/>
          <w:b/>
        </w:rPr>
        <w:t xml:space="preserve">Category 12 Emissions: 0.23 kgCO2e</w:t>
      </w:r>
    </w:p>
    <w:bookmarkEnd w:id="39"/>
    <w:bookmarkStart w:id="40" w:name="X7ef73fe3d39a8d84fae696b42f814aa0d860ec0"/>
    <w:p>
      <w:pPr>
        <w:pStyle w:val="Heading4"/>
      </w:pPr>
      <w:r>
        <w:t xml:space="preserve">4.3.6 2026 LSR Update (Land Sector and Removals Standard)</w:t>
      </w:r>
    </w:p>
    <w:p>
      <w:pPr>
        <w:pStyle w:val="FirstParagraph"/>
      </w:pPr>
      <w:r>
        <w:t xml:space="preserve">The Land Sector and Removals (LSR) Standard applies to land use change and carbon removals. For a standard electronic product like pdtroqmhst, direct land use change for raw material extraction is often embedded within the emission factors of purchased goods. If bio-based materials or packaging were significant, a more detailed LSR assessment would be conducted. As currently defined, its impact is assumed to be captured within the material emission factors. Carbon removals are not explicitly identified in the product\'s lifecycle but could arise from sustainable forestry for packaging, if applicable.</w:t>
      </w:r>
    </w:p>
    <w:p>
      <w:pPr>
        <w:pStyle w:val="BodyText"/>
      </w:pPr>
      <w:r>
        <w:rPr>
          <w:bCs/>
          <w:b/>
        </w:rPr>
        <w:t xml:space="preserve">LSR Impact: Included implicitly within material emission factors where applicable, no direct removals identified for this product.</w:t>
      </w:r>
    </w:p>
    <w:bookmarkEnd w:id="40"/>
    <w:bookmarkEnd w:id="41"/>
    <w:bookmarkStart w:id="42" w:name="total-product-carbon-footprint-pcf"/>
    <w:p>
      <w:pPr>
        <w:pStyle w:val="Heading3"/>
      </w:pPr>
      <w:r>
        <w:t xml:space="preserve">4.4 Total Product Carbon Footprint (PCF)</w:t>
      </w:r>
    </w:p>
    <w:p>
      <w:pPr>
        <w:pStyle w:val="FirstParagraph"/>
      </w:pPr>
      <w:r>
        <w:t xml:space="preserve">Summary of emissions per functional unit (1.0 unit of pdtroqmhst):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1.86</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11.87</w:t>
            </w:r>
          </w:p>
        </w:tc>
      </w:tr>
      <w:tr>
        <w:tc>
          <w:tcPr/>
          <w:p>
            <w:pPr>
              <w:pStyle w:val="Compact"/>
              <w:jc w:val="left"/>
            </w:pPr>
            <w:r>
              <w:rPr>
                <w:bCs/>
                <w:b/>
              </w:rPr>
              <w:t xml:space="preserve">Scope 3, Category 4</w:t>
            </w:r>
          </w:p>
        </w:tc>
        <w:tc>
          <w:tcPr/>
          <w:p>
            <w:pPr>
              <w:pStyle w:val="Compact"/>
              <w:jc w:val="left"/>
            </w:pPr>
            <w:r>
              <w:t xml:space="preserve">Upstream Transportation and Distribution</w:t>
            </w:r>
          </w:p>
        </w:tc>
        <w:tc>
          <w:tcPr/>
          <w:p>
            <w:pPr>
              <w:pStyle w:val="Compact"/>
              <w:jc w:val="left"/>
            </w:pPr>
            <w:r>
              <w:t xml:space="preserve">2.01</w:t>
            </w:r>
          </w:p>
        </w:tc>
      </w:tr>
      <w:tr>
        <w:tc>
          <w:tcPr/>
          <w:p>
            <w:pPr>
              <w:pStyle w:val="Compact"/>
              <w:jc w:val="left"/>
            </w:pPr>
            <w:r>
              <w:rPr>
                <w:bCs/>
                <w:b/>
              </w:rPr>
              <w:t xml:space="preserve">Scope 3, Category 9</w:t>
            </w:r>
          </w:p>
        </w:tc>
        <w:tc>
          <w:tcPr/>
          <w:p>
            <w:pPr>
              <w:pStyle w:val="Compact"/>
              <w:jc w:val="left"/>
            </w:pPr>
            <w:r>
              <w:t xml:space="preserve">Downstream Transportation and Distribution</w:t>
            </w:r>
          </w:p>
        </w:tc>
        <w:tc>
          <w:tcPr/>
          <w:p>
            <w:pPr>
              <w:pStyle w:val="Compact"/>
              <w:jc w:val="left"/>
            </w:pPr>
            <w:r>
              <w:t xml:space="preserve">15.00</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14.28</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0.23</w:t>
            </w:r>
          </w:p>
        </w:tc>
      </w:tr>
      <w:tr>
        <w:tc>
          <w:tcPr>
            <w:gridSpan w:val="2"/>
          </w:tcPr>
          <w:p>
            <w:pPr>
              <w:pStyle w:val="Compact"/>
              <w:jc w:val="right"/>
            </w:pPr>
            <w:r>
              <w:rPr>
                <w:bCs/>
                <w:b/>
              </w:rPr>
              <w:t xml:space="preserve">TOTAL PRODUCT CARBON FOOTPRINT (per 1.0 unit of pdtroqmhst):</w:t>
            </w:r>
          </w:p>
        </w:tc>
        <w:tc>
          <w:tcPr/>
          <w:p>
            <w:pPr>
              <w:pStyle w:val="Compact"/>
              <w:jc w:val="left"/>
            </w:pPr>
            <w:r>
              <w:rPr>
                <w:bCs/>
                <w:b/>
              </w:rPr>
              <w:t xml:space="preserve">45.25 kgCO2e</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s-identification"/>
    <w:p>
      <w:pPr>
        <w:pStyle w:val="Heading3"/>
      </w:pPr>
      <w:r>
        <w:t xml:space="preserve">5.1 Hotspots Identification</w:t>
      </w:r>
    </w:p>
    <w:p>
      <w:pPr>
        <w:pStyle w:val="FirstParagraph"/>
      </w:pPr>
      <w:r>
        <w:t xml:space="preserve">The PCF analysis reveals the following key emission hotspots for</w:t>
      </w:r>
      <w:r>
        <w:t xml:space="preserve"> </w:t>
      </w:r>
      <w:r>
        <w:rPr>
          <w:bCs/>
          <w:b/>
        </w:rPr>
        <w:t xml:space="preserve">pdtroqmhst</w:t>
      </w:r>
      <w:r>
        <w:t xml:space="preserve">:</w:t>
      </w:r>
    </w:p>
    <w:p>
      <w:pPr>
        <w:numPr>
          <w:ilvl w:val="0"/>
          <w:numId w:val="1012"/>
        </w:numPr>
        <w:pStyle w:val="Compact"/>
      </w:pPr>
      <w:r>
        <w:rPr>
          <w:bCs/>
          <w:b/>
        </w:rPr>
        <w:t xml:space="preserve">Downstream Transportation (Category 9):</w:t>
      </w:r>
      <w:r>
        <w:t xml:space="preserve"> </w:t>
      </w:r>
      <w:r>
        <w:t xml:space="preserve">Represents 15.00 kgCO2e (approximately 33.15% of total PCF). This high impact is primarily due to the last-mile delivery assumption of 100 km for each unit by Light Commercial Vehicle. Optimizing logistics, consolidating shipments, or utilizing more efficient transport modes can significantly reduce this.</w:t>
      </w:r>
    </w:p>
    <w:p>
      <w:pPr>
        <w:numPr>
          <w:ilvl w:val="0"/>
          <w:numId w:val="1012"/>
        </w:numPr>
        <w:pStyle w:val="Compact"/>
      </w:pPr>
      <w:r>
        <w:rPr>
          <w:bCs/>
          <w:b/>
        </w:rPr>
        <w:t xml:space="preserve">Use Phase (Category 11):</w:t>
      </w:r>
      <w:r>
        <w:t xml:space="preserve"> </w:t>
      </w:r>
      <w:r>
        <w:t xml:space="preserve">Contributes 14.28 kgCO2e (approximately 31.56% of total PCF). Energy consumption during the product\'s 3-year lifespan is a major factor. Strategies here include improving energy efficiency of the product, extending lifespan, or encouraging use with renewable energy sources.</w:t>
      </w:r>
    </w:p>
    <w:p>
      <w:pPr>
        <w:numPr>
          <w:ilvl w:val="0"/>
          <w:numId w:val="1012"/>
        </w:numPr>
        <w:pStyle w:val="Compact"/>
      </w:pPr>
      <w:r>
        <w:rPr>
          <w:bCs/>
          <w:b/>
        </w:rPr>
        <w:t xml:space="preserve">Purchased Goods and Services (Category 1):</w:t>
      </w:r>
      <w:r>
        <w:t xml:space="preserve"> </w:t>
      </w:r>
      <w:r>
        <w:t xml:space="preserve">Materials contribute 11.87 kgCO2e (approximately 26.23% of total PCF). The Aluminium Casing and Lithium-ion Battery are significant contributors here. Sourcing lower-carbon materials, increasing recycled content, or working with suppliers on their decarbonization efforts are crucial.</w:t>
      </w:r>
    </w:p>
    <w:p>
      <w:pPr>
        <w:numPr>
          <w:ilvl w:val="0"/>
          <w:numId w:val="1012"/>
        </w:numPr>
        <w:pStyle w:val="Compact"/>
      </w:pPr>
      <w:r>
        <w:rPr>
          <w:bCs/>
          <w:b/>
        </w:rPr>
        <w:t xml:space="preserve">Production (Scope 2):</w:t>
      </w:r>
      <w:r>
        <w:t xml:space="preserve"> </w:t>
      </w:r>
      <w:r>
        <w:t xml:space="preserve">Purchased electricity for manufacturing accounts for 1.86 kgCO2e (approximately 4.11%). Increasing renewable energy procurement at the manufacturing facility in China (beyond the current 40%) can reduce this.</w:t>
      </w:r>
    </w:p>
    <w:bookmarkEnd w:id="44"/>
    <w:bookmarkStart w:id="46"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specific parameters provided by dymmqpspif.</w:t>
      </w:r>
    </w:p>
    <w:p>
      <w:pPr>
        <w:numPr>
          <w:ilvl w:val="0"/>
          <w:numId w:val="1013"/>
        </w:numPr>
        <w:pStyle w:val="Compact"/>
      </w:pPr>
      <w:r>
        <w:rPr>
          <w:bCs/>
          <w:b/>
        </w:rPr>
        <w:t xml:space="preserve">Data Specificity:</w:t>
      </w:r>
      <w:r>
        <w:t xml:space="preserve"> </w:t>
      </w:r>
      <w:r>
        <w:t xml:space="preserve">The use of a detailed BOM and custom energy/transport data enhances accuracy over generic estimates.</w:t>
      </w:r>
    </w:p>
    <w:p>
      <w:pPr>
        <w:numPr>
          <w:ilvl w:val="0"/>
          <w:numId w:val="1013"/>
        </w:numPr>
        <w:pStyle w:val="Compact"/>
      </w:pPr>
      <w:r>
        <w:rPr>
          <w:bCs/>
          <w:b/>
        </w:rPr>
        <w:t xml:space="preserve">Emission Factors:</w:t>
      </w:r>
      <w:r>
        <w:t xml:space="preserve"> </w:t>
      </w:r>
      <w:r>
        <w:t xml:space="preserve">Industry-standard emission factors (e.g., from OpenCO2.net, Climatiq, EPA, BEIS, European Aluminium, CarbonChain, etc.) were used for calculations. While these are widely accepted, specific supplier data for each material and service would further refine the results. Where exact values were not available for placeholders, plausible, illustrative values were used based on general industry averages and explicitly noted.</w:t>
      </w:r>
    </w:p>
    <w:p>
      <w:pPr>
        <w:numPr>
          <w:ilvl w:val="0"/>
          <w:numId w:val="1013"/>
        </w:numPr>
        <w:pStyle w:val="Compact"/>
      </w:pPr>
      <w:r>
        <w:rPr>
          <w:bCs/>
          <w:b/>
        </w:rPr>
        <w:t xml:space="preserve">Assumptions:</w:t>
      </w:r>
      <w:r>
        <w:t xml:space="preserve"> </w:t>
      </w:r>
      <w:r>
        <w:t xml:space="preserve">Assumptions were made for placeholder values (e.g., specific transport distances, last-mile delivery type, and exact allocation for complex EoL scenarios within the recyclability percentage) which may influence the final footprint. Actual values should be obtained for higher precision.</w:t>
      </w:r>
    </w:p>
    <w:p>
      <w:pPr>
        <w:numPr>
          <w:ilvl w:val="0"/>
          <w:numId w:val="1013"/>
        </w:numPr>
        <w:pStyle w:val="Compact"/>
      </w:pPr>
      <w:r>
        <w:rPr>
          <w:bCs/>
          <w:b/>
        </w:rPr>
        <w:t xml:space="preserve">2026 LSR Update:</w:t>
      </w:r>
      <w:r>
        <w:t xml:space="preserve"> </w:t>
      </w:r>
      <w:r>
        <w:t xml:space="preserve">The LSR standard\'s application for this product is currently implicitly covered by material factors. A more in-depth assessment would be required for products with significant direct land-use impacts or bio-based carbon sequestration.</w:t>
      </w:r>
    </w:p>
    <w:p>
      <w:pPr>
        <w:numPr>
          <w:ilvl w:val="0"/>
          <w:numId w:val="1013"/>
        </w:numPr>
        <w:pStyle w:val="Compact"/>
      </w:pPr>
      <w:r>
        <w:rPr>
          <w:bCs/>
          <w:b/>
        </w:rPr>
        <w:t xml:space="preserve">Scope 3 Coverage:</w:t>
      </w:r>
      <w:r>
        <w:t xml:space="preserve"> </w:t>
      </w:r>
      <w:r>
        <w:t xml:space="preserve">The methodology ensures broad coverage of Scope 3 categories, meeting the 95% threshold for significant categories.</w:t>
      </w:r>
    </w:p>
    <w:p>
      <w:pPr>
        <w:pStyle w:val="FirstParagraph"/>
      </w:pPr>
      <w:r>
        <w:t xml:space="preserve">This report provides a robust baseline for dymmqpspif\'s sustainability efforts and strategic decision-making.</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pdtroqmhst</dc:title>
  <dc:creator/>
  <dc:description>A high-detail Product Carbon Footprint (PCF) analysis report for pdtroqmhst, adhering to GHG Protocol and 2026 LSR Update requirements.</dc:description>
  <dc:language>en</dc:language>
  <cp:keywords/>
  <dcterms:created xsi:type="dcterms:W3CDTF">2026-05-30T17:34:06Z</dcterms:created>
  <dcterms:modified xsi:type="dcterms:W3CDTF">2026-05-30T17:34:06Z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