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Panadol</w:t>
      </w:r>
      <w:r>
        <w:t xml:space="preserve"> </w:t>
      </w:r>
      <w:r>
        <w:t xml:space="preserve">10</w:t>
      </w:r>
      <w:r>
        <w:t xml:space="preserve"> </w:t>
      </w:r>
      <w:r>
        <w:t xml:space="preserve">Tablets</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w:t>
      </w:r>
      <w:r>
        <w:t xml:space="preserve"> </w:t>
      </w:r>
      <w:r>
        <w:t xml:space="preserve">Panadol 10 Tablets</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carboncalc.online</w:t>
      </w:r>
    </w:p>
    <w:p>
      <w:pPr>
        <w:pStyle w:val="BodyText"/>
      </w:pPr>
      <w:r>
        <w:rPr>
          <w:bCs/>
          <w:b/>
        </w:rPr>
        <w:t xml:space="preserve">Senior Sustainability Consultant:</w:t>
      </w:r>
      <w:r>
        <w:t xml:space="preserve"> </w:t>
      </w:r>
      <w:r>
        <w:t xml:space="preserve">Remko Weingarten</w:t>
      </w:r>
    </w:p>
    <w:p>
      <w:pPr>
        <w:pStyle w:val="BodyText"/>
      </w:pPr>
      <w:r>
        <w:t xml:space="preserve">This report is generated based on available industry data and recognized accounting standards. While every effort has been made to ensure accuracy, specific values are illustrative and would ideally be refined with primary data from the actual product supply chain.</w:t>
      </w:r>
    </w:p>
    <w:bookmarkEnd w:id="20"/>
    <w:bookmarkStart w:id="21" w:name="Xe3c90c07b24e54558caa8aaf4402989491279b8"/>
    <w:p>
      <w:pPr>
        <w:pStyle w:val="Heading1"/>
      </w:pPr>
      <w:r>
        <w:t xml:space="preserve">Product Carbon Footprint Report: Panadol 10 Tablets</w:t>
      </w:r>
    </w:p>
    <w:p>
      <w:pPr>
        <w:pStyle w:val="FirstParagraph"/>
      </w:pPr>
      <w:r>
        <w:t xml:space="preserve">Generated Date: April 21,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"Panadol 10 Tablets," acting as Remko Weingarten, a Senior Sustainability Consultant for carboncalc.online. The analysis adheres strictly to the GHG Protocol, including the 2026 Land Sector and Removals (LSR) Standard update and ensuring at least 95% Scope 3 coverage. The functional unit is 1.0 unit of Panadol 10 tablets, with a cradle-to-gate system boundary, focusing on production in the Netherlands and a Europe-focused supply chain. The assessment identifies raw material acquisition and manufacturing energy as primary emission hotspots, with a comprehensive breakdown of inputs and associated greenhouse gas emissions.</w:t>
      </w:r>
    </w:p>
    <w:p>
      <w:r>
        <w:pict>
          <v:rect style="width:0;height:1.5pt" o:hralign="center" o:hrstd="t" o:hr="t"/>
        </w:pict>
      </w:r>
    </w:p>
    <w:bookmarkEnd w:id="22"/>
    <w:bookmarkStart w:id="28" w:name="define-scope"/>
    <w:p>
      <w:pPr>
        <w:pStyle w:val="Heading2"/>
      </w:pPr>
      <w:r>
        <w:t xml:space="preserve">1. Define Scope</w:t>
      </w:r>
    </w:p>
    <w:bookmarkStart w:id="23" w:name="functional-unit"/>
    <w:p>
      <w:pPr>
        <w:pStyle w:val="Heading3"/>
      </w:pPr>
      <w:r>
        <w:t xml:space="preserve">1.1 Functional Unit</w:t>
      </w:r>
    </w:p>
    <w:p>
      <w:pPr>
        <w:pStyle w:val="FirstParagraph"/>
      </w:pPr>
      <w:r>
        <w:t xml:space="preserve">The functional unit for this Product Carbon Footprint (PCF) analysis is defined as **1.0 unit of Panadol 10 tablets**. This represents a single package containing 10 tablets, each typically 500 mg of Paracetamol. The functional unit provides a reference basis for quantifying the environmental impacts.</w:t>
      </w:r>
    </w:p>
    <w:bookmarkEnd w:id="23"/>
    <w:bookmarkStart w:id="24" w:name="system-boundary"/>
    <w:p>
      <w:pPr>
        <w:pStyle w:val="Heading3"/>
      </w:pPr>
      <w:r>
        <w:t xml:space="preserve">1.2 System Boundary</w:t>
      </w:r>
    </w:p>
    <w:p>
      <w:pPr>
        <w:pStyle w:val="FirstParagraph"/>
      </w:pPr>
      <w:r>
        <w:t xml:space="preserve">The system boundary for this assessment is **"factory_gate" (cradle-to-gate)**. This includes all greenhouse gas (GHG) emissions associated with:</w:t>
      </w:r>
    </w:p>
    <w:p>
      <w:pPr>
        <w:numPr>
          <w:ilvl w:val="0"/>
          <w:numId w:val="1001"/>
        </w:numPr>
        <w:pStyle w:val="Compact"/>
      </w:pPr>
      <w:r>
        <w:t xml:space="preserve">Extraction and processing of raw materials (Active Pharmaceutical Ingredient, excipients, and packaging materials).</w:t>
      </w:r>
    </w:p>
    <w:p>
      <w:pPr>
        <w:numPr>
          <w:ilvl w:val="0"/>
          <w:numId w:val="1001"/>
        </w:numPr>
        <w:pStyle w:val="Compact"/>
      </w:pPr>
      <w:r>
        <w:t xml:space="preserve">Transportation of raw materials to the manufacturing facility.</w:t>
      </w:r>
    </w:p>
    <w:p>
      <w:pPr>
        <w:numPr>
          <w:ilvl w:val="0"/>
          <w:numId w:val="1001"/>
        </w:numPr>
        <w:pStyle w:val="Compact"/>
      </w:pPr>
      <w:r>
        <w:t xml:space="preserve">Manufacturing processes at the factory, including energy consumption and direct emissions.</w:t>
      </w:r>
    </w:p>
    <w:p>
      <w:pPr>
        <w:numPr>
          <w:ilvl w:val="0"/>
          <w:numId w:val="1001"/>
        </w:numPr>
        <w:pStyle w:val="Compact"/>
      </w:pPr>
      <w:r>
        <w:t xml:space="preserve">Waste generated during manufacturing operations.</w:t>
      </w:r>
    </w:p>
    <w:p>
      <w:pPr>
        <w:pStyle w:val="FirstParagraph"/>
      </w:pPr>
      <w:r>
        <w:t xml:space="preserve">Stages typically excluded from a cradle-to-gate boundary, such as distribution to retail, consumer use, and end-of-life disposal, are outside the scope of this report.</w:t>
      </w:r>
    </w:p>
    <w:bookmarkEnd w:id="24"/>
    <w:bookmarkStart w:id="25" w:name="geographic-scope"/>
    <w:p>
      <w:pPr>
        <w:pStyle w:val="Heading3"/>
      </w:pPr>
      <w:r>
        <w:t xml:space="preserve">1.3 Geographic Scope</w:t>
      </w:r>
    </w:p>
    <w:p>
      <w:pPr>
        <w:numPr>
          <w:ilvl w:val="0"/>
          <w:numId w:val="1002"/>
        </w:numPr>
        <w:pStyle w:val="Compact"/>
      </w:pPr>
      <w:r>
        <w:rPr>
          <w:bCs/>
          <w:b/>
        </w:rPr>
        <w:t xml:space="preserve">Final Production Country:</w:t>
      </w:r>
      <w:r>
        <w:t xml:space="preserve"> </w:t>
      </w:r>
      <w:r>
        <w:t xml:space="preserve">Netherlands</w:t>
      </w:r>
    </w:p>
    <w:p>
      <w:pPr>
        <w:numPr>
          <w:ilvl w:val="0"/>
          <w:numId w:val="1002"/>
        </w:numPr>
        <w:pStyle w:val="Compact"/>
      </w:pPr>
      <w:r>
        <w:rPr>
          <w:bCs/>
          <w:b/>
        </w:rPr>
        <w:t xml:space="preserve">Supply Chain Focus:</w:t>
      </w:r>
      <w:r>
        <w:t xml:space="preserve"> </w:t>
      </w:r>
      <w:r>
        <w:t xml:space="preserve">Europe Focused</w:t>
      </w:r>
    </w:p>
    <w:p>
      <w:pPr>
        <w:pStyle w:val="FirstParagraph"/>
      </w:pPr>
      <w:r>
        <w:t xml:space="preserve">This geographic scope dictates the selection of regional emission factors for electricity, natural gas, and transportation, reflecting the specific energy mixes and logistical realities of the Netherlands and the broader European supply chain.</w:t>
      </w:r>
    </w:p>
    <w:bookmarkEnd w:id="25"/>
    <w:bookmarkStart w:id="26" w:name="accounting-standard"/>
    <w:p>
      <w:pPr>
        <w:pStyle w:val="Heading3"/>
      </w:pPr>
      <w:r>
        <w:t xml:space="preserve">1.4 Accounting Standard</w:t>
      </w:r>
    </w:p>
    <w:p>
      <w:pPr>
        <w:pStyle w:val="FirstParagraph"/>
      </w:pPr>
      <w:r>
        <w:t xml:space="preserve">This Product Carbon Footprint analysis is conducted in full compliance with the **GHG Protocol**. This includes adhering to its principles of relevance, completeness, consistency, transparency, and accuracy for GHG accounting and reporting.</w:t>
      </w:r>
    </w:p>
    <w:bookmarkEnd w:id="26"/>
    <w:bookmarkStart w:id="27" w:name="allocation"/>
    <w:p>
      <w:pPr>
        <w:pStyle w:val="Heading3"/>
      </w:pPr>
      <w:r>
        <w:t xml:space="preserve">1.5 Allocation</w:t>
      </w:r>
    </w:p>
    <w:p>
      <w:pPr>
        <w:pStyle w:val="FirstParagraph"/>
      </w:pPr>
      <w:r>
        <w:t xml:space="preserve">For processes involving multiple co-products or services, emissions have been allocated using a **mass-based allocation approach**. This method attributes emissions proportionally to the mass of the respective products, ensuring that the environmental burden is fairly distributed to the functional unit.</w:t>
      </w:r>
    </w:p>
    <w:p>
      <w:r>
        <w:pict>
          <v:rect style="width:0;height:1.5pt" o:hralign="center" o:hrstd="t" o:hr="t"/>
        </w:pict>
      </w:r>
    </w:p>
    <w:bookmarkEnd w:id="27"/>
    <w:bookmarkEnd w:id="28"/>
    <w:bookmarkStart w:id="33" w:name="map-lifecycle-lci-inventory-stages"/>
    <w:p>
      <w:pPr>
        <w:pStyle w:val="Heading2"/>
      </w:pPr>
      <w:r>
        <w:t xml:space="preserve">2. Map Lifecycle (LCI Inventory Stages)</w:t>
      </w:r>
    </w:p>
    <w:p>
      <w:pPr>
        <w:pStyle w:val="FirstParagraph"/>
      </w:pPr>
      <w:r>
        <w:t xml:space="preserve">The lifecycle mapping for Panadol 10 tablets, from "cradle" to "factory gate," identifies all relevant processes and material flows.</w:t>
      </w:r>
    </w:p>
    <w:bookmarkStart w:id="29" w:name="X19e7091be73dabe746ec844a494e50a621d9384"/>
    <w:p>
      <w:pPr>
        <w:pStyle w:val="Heading3"/>
      </w:pPr>
      <w:r>
        <w:t xml:space="preserve">2.1 Raw Material Acquisition and Pre-processing</w:t>
      </w:r>
    </w:p>
    <w:p>
      <w:pPr>
        <w:numPr>
          <w:ilvl w:val="0"/>
          <w:numId w:val="1003"/>
        </w:numPr>
        <w:pStyle w:val="Compact"/>
      </w:pPr>
      <w:r>
        <w:rPr>
          <w:bCs/>
          <w:b/>
        </w:rPr>
        <w:t xml:space="preserve">Active Pharmaceutical Ingredient (API):</w:t>
      </w:r>
      <w:r>
        <w:t xml:space="preserve"> </w:t>
      </w:r>
      <w:r>
        <w:t xml:space="preserve">Paracetamol (Acetaminophen) synthesis and purification. This typically involves complex chemical reactions and solvent usage.</w:t>
      </w:r>
    </w:p>
    <w:p>
      <w:pPr>
        <w:numPr>
          <w:ilvl w:val="0"/>
          <w:numId w:val="1003"/>
        </w:numPr>
        <w:pStyle w:val="Compact"/>
      </w:pPr>
      <w:r>
        <w:rPr>
          <w:bCs/>
          <w:b/>
        </w:rPr>
        <w:t xml:space="preserve">Excipients:</w:t>
      </w:r>
      <w:r>
        <w:t xml:space="preserve"> </w:t>
      </w:r>
      <w:r>
        <w:t xml:space="preserve">Production of pharmaceutical-grade inactive ingredients, such as:</w:t>
      </w:r>
    </w:p>
    <w:p>
      <w:pPr>
        <w:numPr>
          <w:ilvl w:val="1"/>
          <w:numId w:val="1004"/>
        </w:numPr>
        <w:pStyle w:val="Compact"/>
      </w:pPr>
      <w:r>
        <w:t xml:space="preserve">Starch (e.g., maize starch, pregelatinized starch) – binder/disintegrant.</w:t>
      </w:r>
    </w:p>
    <w:p>
      <w:pPr>
        <w:numPr>
          <w:ilvl w:val="1"/>
          <w:numId w:val="1004"/>
        </w:numPr>
        <w:pStyle w:val="Compact"/>
      </w:pPr>
      <w:r>
        <w:t xml:space="preserve">Povidone (polyvinylpyrrolidone) – binder.</w:t>
      </w:r>
    </w:p>
    <w:p>
      <w:pPr>
        <w:numPr>
          <w:ilvl w:val="1"/>
          <w:numId w:val="1004"/>
        </w:numPr>
        <w:pStyle w:val="Compact"/>
      </w:pPr>
      <w:r>
        <w:t xml:space="preserve">Magnesium Stearate – lubricant.</w:t>
      </w:r>
    </w:p>
    <w:p>
      <w:pPr>
        <w:numPr>
          <w:ilvl w:val="1"/>
          <w:numId w:val="1004"/>
        </w:numPr>
        <w:pStyle w:val="Compact"/>
      </w:pPr>
      <w:r>
        <w:t xml:space="preserve">Talc – glidant.</w:t>
      </w:r>
    </w:p>
    <w:p>
      <w:pPr>
        <w:numPr>
          <w:ilvl w:val="1"/>
          <w:numId w:val="1004"/>
        </w:numPr>
        <w:pStyle w:val="Compact"/>
      </w:pPr>
      <w:r>
        <w:t xml:space="preserve">Other minor excipients (e.g., colorants, film-coating agents if applicable).</w:t>
      </w:r>
    </w:p>
    <w:p>
      <w:pPr>
        <w:numPr>
          <w:ilvl w:val="0"/>
          <w:numId w:val="1003"/>
        </w:numPr>
        <w:pStyle w:val="Compact"/>
      </w:pPr>
      <w:r>
        <w:rPr>
          <w:bCs/>
          <w:b/>
        </w:rPr>
        <w:t xml:space="preserve">Packaging Materials:</w:t>
      </w:r>
    </w:p>
    <w:p>
      <w:pPr>
        <w:numPr>
          <w:ilvl w:val="1"/>
          <w:numId w:val="1005"/>
        </w:numPr>
        <w:pStyle w:val="Compact"/>
      </w:pPr>
      <w:r>
        <w:rPr>
          <w:bCs/>
          <w:b/>
        </w:rPr>
        <w:t xml:space="preserve">Blister Film:</w:t>
      </w:r>
      <w:r>
        <w:t xml:space="preserve"> </w:t>
      </w:r>
      <w:r>
        <w:t xml:space="preserve">Production of Polyvinyl Chloride (PVC) and/or Polyvinylidene Chloride (PVdC) film.</w:t>
      </w:r>
    </w:p>
    <w:p>
      <w:pPr>
        <w:numPr>
          <w:ilvl w:val="1"/>
          <w:numId w:val="1005"/>
        </w:numPr>
        <w:pStyle w:val="Compact"/>
      </w:pPr>
      <w:r>
        <w:rPr>
          <w:bCs/>
          <w:b/>
        </w:rPr>
        <w:t xml:space="preserve">Blister Foil:</w:t>
      </w:r>
      <w:r>
        <w:t xml:space="preserve"> </w:t>
      </w:r>
      <w:r>
        <w:t xml:space="preserve">Primary aluminium foil production.</w:t>
      </w:r>
    </w:p>
    <w:p>
      <w:pPr>
        <w:numPr>
          <w:ilvl w:val="1"/>
          <w:numId w:val="1005"/>
        </w:numPr>
        <w:pStyle w:val="Compact"/>
      </w:pPr>
      <w:r>
        <w:rPr>
          <w:bCs/>
          <w:b/>
        </w:rPr>
        <w:t xml:space="preserve">Carton Box:</w:t>
      </w:r>
      <w:r>
        <w:t xml:space="preserve"> </w:t>
      </w:r>
      <w:r>
        <w:t xml:space="preserve">Production of bleached paperboard (virgin pulp often used for pharmaceuticals).</w:t>
      </w:r>
    </w:p>
    <w:p>
      <w:pPr>
        <w:numPr>
          <w:ilvl w:val="1"/>
          <w:numId w:val="1005"/>
        </w:numPr>
        <w:pStyle w:val="Compact"/>
      </w:pPr>
      <w:r>
        <w:rPr>
          <w:bCs/>
          <w:b/>
        </w:rPr>
        <w:t xml:space="preserve">Patient Information Leaflet (PIL):</w:t>
      </w:r>
      <w:r>
        <w:t xml:space="preserve"> </w:t>
      </w:r>
      <w:r>
        <w:t xml:space="preserve">Paper production for printing the leaflet.</w:t>
      </w:r>
    </w:p>
    <w:bookmarkEnd w:id="29"/>
    <w:bookmarkStart w:id="30" w:name="manufacturing-processes-at-the-factory"/>
    <w:p>
      <w:pPr>
        <w:pStyle w:val="Heading3"/>
      </w:pPr>
      <w:r>
        <w:t xml:space="preserve">2.2 Manufacturing Processes at the Factory</w:t>
      </w:r>
    </w:p>
    <w:p>
      <w:pPr>
        <w:numPr>
          <w:ilvl w:val="0"/>
          <w:numId w:val="1006"/>
        </w:numPr>
        <w:pStyle w:val="Compact"/>
      </w:pPr>
      <w:r>
        <w:rPr>
          <w:bCs/>
          <w:b/>
        </w:rPr>
        <w:t xml:space="preserve">Tablet Formulation:</w:t>
      </w:r>
    </w:p>
    <w:p>
      <w:pPr>
        <w:numPr>
          <w:ilvl w:val="1"/>
          <w:numId w:val="1007"/>
        </w:numPr>
        <w:pStyle w:val="Compact"/>
      </w:pPr>
      <w:r>
        <w:rPr>
          <w:bCs/>
          <w:b/>
        </w:rPr>
        <w:t xml:space="preserve">Weighing and Dispensing:</w:t>
      </w:r>
      <w:r>
        <w:t xml:space="preserve"> </w:t>
      </w:r>
      <w:r>
        <w:t xml:space="preserve">Accurate measurement of API and excipients.</w:t>
      </w:r>
    </w:p>
    <w:p>
      <w:pPr>
        <w:numPr>
          <w:ilvl w:val="1"/>
          <w:numId w:val="1007"/>
        </w:numPr>
        <w:pStyle w:val="Compact"/>
      </w:pPr>
      <w:r>
        <w:rPr>
          <w:bCs/>
          <w:b/>
        </w:rPr>
        <w:t xml:space="preserve">Mixing and Granulation:</w:t>
      </w:r>
      <w:r>
        <w:t xml:space="preserve"> </w:t>
      </w:r>
      <w:r>
        <w:t xml:space="preserve">Blending ingredients and forming granules (e.g., wet granulation, dry granulation).</w:t>
      </w:r>
    </w:p>
    <w:p>
      <w:pPr>
        <w:numPr>
          <w:ilvl w:val="1"/>
          <w:numId w:val="1007"/>
        </w:numPr>
        <w:pStyle w:val="Compact"/>
      </w:pPr>
      <w:r>
        <w:rPr>
          <w:bCs/>
          <w:b/>
        </w:rPr>
        <w:t xml:space="preserve">Drying:</w:t>
      </w:r>
      <w:r>
        <w:t xml:space="preserve"> </w:t>
      </w:r>
      <w:r>
        <w:t xml:space="preserve">Removal of moisture from granules.</w:t>
      </w:r>
    </w:p>
    <w:p>
      <w:pPr>
        <w:numPr>
          <w:ilvl w:val="1"/>
          <w:numId w:val="1007"/>
        </w:numPr>
        <w:pStyle w:val="Compact"/>
      </w:pPr>
      <w:r>
        <w:rPr>
          <w:bCs/>
          <w:b/>
        </w:rPr>
        <w:t xml:space="preserve">Compression:</w:t>
      </w:r>
      <w:r>
        <w:t xml:space="preserve"> </w:t>
      </w:r>
      <w:r>
        <w:t xml:space="preserve">Forming tablets from granules using presses.</w:t>
      </w:r>
    </w:p>
    <w:p>
      <w:pPr>
        <w:numPr>
          <w:ilvl w:val="1"/>
          <w:numId w:val="1007"/>
        </w:numPr>
        <w:pStyle w:val="Compact"/>
      </w:pPr>
      <w:r>
        <w:rPr>
          <w:bCs/>
          <w:b/>
        </w:rPr>
        <w:t xml:space="preserve">Coating (if applicable):</w:t>
      </w:r>
      <w:r>
        <w:t xml:space="preserve"> </w:t>
      </w:r>
      <w:r>
        <w:t xml:space="preserve">Applying a film coat for protection, ease of swallowing, or aesthetic reasons.</w:t>
      </w:r>
    </w:p>
    <w:p>
      <w:pPr>
        <w:numPr>
          <w:ilvl w:val="0"/>
          <w:numId w:val="1006"/>
        </w:numPr>
        <w:pStyle w:val="Compact"/>
      </w:pPr>
      <w:r>
        <w:rPr>
          <w:bCs/>
          <w:b/>
        </w:rPr>
        <w:t xml:space="preserve">Primary Packaging:</w:t>
      </w:r>
    </w:p>
    <w:p>
      <w:pPr>
        <w:numPr>
          <w:ilvl w:val="1"/>
          <w:numId w:val="1008"/>
        </w:numPr>
        <w:pStyle w:val="Compact"/>
      </w:pPr>
      <w:r>
        <w:rPr>
          <w:bCs/>
          <w:b/>
        </w:rPr>
        <w:t xml:space="preserve">Blistering:</w:t>
      </w:r>
      <w:r>
        <w:t xml:space="preserve"> </w:t>
      </w:r>
      <w:r>
        <w:t xml:space="preserve">Forming blisters, filling tablets, and sealing with aluminium foil.</w:t>
      </w:r>
    </w:p>
    <w:p>
      <w:pPr>
        <w:numPr>
          <w:ilvl w:val="0"/>
          <w:numId w:val="1006"/>
        </w:numPr>
        <w:pStyle w:val="Compact"/>
      </w:pPr>
      <w:r>
        <w:rPr>
          <w:bCs/>
          <w:b/>
        </w:rPr>
        <w:t xml:space="preserve">Secondary Packaging:</w:t>
      </w:r>
    </w:p>
    <w:p>
      <w:pPr>
        <w:numPr>
          <w:ilvl w:val="1"/>
          <w:numId w:val="1009"/>
        </w:numPr>
        <w:pStyle w:val="Compact"/>
      </w:pPr>
      <w:r>
        <w:rPr>
          <w:bCs/>
          <w:b/>
        </w:rPr>
        <w:t xml:space="preserve">Cartoning:</w:t>
      </w:r>
      <w:r>
        <w:t xml:space="preserve"> </w:t>
      </w:r>
      <w:r>
        <w:t xml:space="preserve">Inserting blister packs and patient information leaflets into carton boxes.</w:t>
      </w:r>
    </w:p>
    <w:p>
      <w:pPr>
        <w:numPr>
          <w:ilvl w:val="1"/>
          <w:numId w:val="1009"/>
        </w:numPr>
        <w:pStyle w:val="Compact"/>
      </w:pPr>
      <w:r>
        <w:rPr>
          <w:bCs/>
          <w:b/>
        </w:rPr>
        <w:t xml:space="preserve">Labeling and Serialization:</w:t>
      </w:r>
      <w:r>
        <w:t xml:space="preserve"> </w:t>
      </w:r>
      <w:r>
        <w:t xml:space="preserve">Application of labels and unique identifiers.</w:t>
      </w:r>
    </w:p>
    <w:p>
      <w:pPr>
        <w:numPr>
          <w:ilvl w:val="0"/>
          <w:numId w:val="1006"/>
        </w:numPr>
        <w:pStyle w:val="Compact"/>
      </w:pPr>
      <w:r>
        <w:rPr>
          <w:bCs/>
          <w:b/>
        </w:rPr>
        <w:t xml:space="preserve">Quality Control:</w:t>
      </w:r>
      <w:r>
        <w:t xml:space="preserve"> </w:t>
      </w:r>
      <w:r>
        <w:t xml:space="preserve">Sampling and testing at various stages.</w:t>
      </w:r>
    </w:p>
    <w:p>
      <w:pPr>
        <w:numPr>
          <w:ilvl w:val="0"/>
          <w:numId w:val="1006"/>
        </w:numPr>
        <w:pStyle w:val="Compact"/>
      </w:pPr>
      <w:r>
        <w:rPr>
          <w:bCs/>
          <w:b/>
        </w:rPr>
        <w:t xml:space="preserve">Internal Logistics:</w:t>
      </w:r>
      <w:r>
        <w:t xml:space="preserve"> </w:t>
      </w:r>
      <w:r>
        <w:t xml:space="preserve">Movement and storage of materials and finished goods within the factory.</w:t>
      </w:r>
    </w:p>
    <w:p>
      <w:pPr>
        <w:numPr>
          <w:ilvl w:val="0"/>
          <w:numId w:val="1006"/>
        </w:numPr>
        <w:pStyle w:val="Compact"/>
      </w:pPr>
      <w:r>
        <w:rPr>
          <w:bCs/>
          <w:b/>
        </w:rPr>
        <w:t xml:space="preserve">Utilities:</w:t>
      </w:r>
      <w:r>
        <w:t xml:space="preserve"> </w:t>
      </w:r>
      <w:r>
        <w:t xml:space="preserve">Heating, Ventilation, Air Conditioning (HVAC), compressed air, water treatment.</w:t>
      </w:r>
    </w:p>
    <w:bookmarkEnd w:id="30"/>
    <w:bookmarkStart w:id="31" w:name="energy-inputs"/>
    <w:p>
      <w:pPr>
        <w:pStyle w:val="Heading3"/>
      </w:pPr>
      <w:r>
        <w:t xml:space="preserve">2.3 Energy Inputs</w:t>
      </w:r>
    </w:p>
    <w:p>
      <w:pPr>
        <w:numPr>
          <w:ilvl w:val="0"/>
          <w:numId w:val="1010"/>
        </w:numPr>
        <w:pStyle w:val="Compact"/>
      </w:pPr>
      <w:r>
        <w:rPr>
          <w:bCs/>
          <w:b/>
        </w:rPr>
        <w:t xml:space="preserve">Electricity:</w:t>
      </w:r>
      <w:r>
        <w:t xml:space="preserve"> </w:t>
      </w:r>
      <w:r>
        <w:t xml:space="preserve">Purchased from the national grid (Netherlands mix) for machinery, lighting, HVAC, etc.</w:t>
      </w:r>
    </w:p>
    <w:p>
      <w:pPr>
        <w:numPr>
          <w:ilvl w:val="0"/>
          <w:numId w:val="1010"/>
        </w:numPr>
        <w:pStyle w:val="Compact"/>
      </w:pPr>
      <w:r>
        <w:rPr>
          <w:bCs/>
          <w:b/>
        </w:rPr>
        <w:t xml:space="preserve">Natural Gas:</w:t>
      </w:r>
      <w:r>
        <w:t xml:space="preserve"> </w:t>
      </w:r>
      <w:r>
        <w:t xml:space="preserve">Used for process heating (e.g., granulation drying, steam generation) and potentially space heating.</w:t>
      </w:r>
    </w:p>
    <w:bookmarkEnd w:id="31"/>
    <w:bookmarkStart w:id="32" w:name="waste-generated-in-operations"/>
    <w:p>
      <w:pPr>
        <w:pStyle w:val="Heading3"/>
      </w:pPr>
      <w:r>
        <w:t xml:space="preserve">2.4 Waste Generated in Operations</w:t>
      </w:r>
    </w:p>
    <w:p>
      <w:pPr>
        <w:numPr>
          <w:ilvl w:val="0"/>
          <w:numId w:val="1011"/>
        </w:numPr>
        <w:pStyle w:val="Compact"/>
      </w:pPr>
      <w:r>
        <w:t xml:space="preserve">Process waste (e.g., off-spec tablets, packaging trim).</w:t>
      </w:r>
    </w:p>
    <w:p>
      <w:pPr>
        <w:numPr>
          <w:ilvl w:val="0"/>
          <w:numId w:val="1011"/>
        </w:numPr>
        <w:pStyle w:val="Compact"/>
      </w:pPr>
      <w:r>
        <w:t xml:space="preserve">Wastewater treatment sludge.</w:t>
      </w:r>
    </w:p>
    <w:p>
      <w:pPr>
        <w:numPr>
          <w:ilvl w:val="0"/>
          <w:numId w:val="1011"/>
        </w:numPr>
        <w:pStyle w:val="Compact"/>
      </w:pPr>
      <w:r>
        <w:t xml:space="preserve">General non-hazardous and hazardous waste.</w:t>
      </w:r>
    </w:p>
    <w:p>
      <w:r>
        <w:pict>
          <v:rect style="width:0;height:1.5pt" o:hralign="center" o:hrstd="t" o:hr="t"/>
        </w:pict>
      </w:r>
    </w:p>
    <w:bookmarkEnd w:id="32"/>
    <w:bookmarkEnd w:id="33"/>
    <w:bookmarkStart w:id="36" w:name="Xb57f50a89bf1f3f1837369be949d9d60d6c1272"/>
    <w:p>
      <w:pPr>
        <w:pStyle w:val="Heading2"/>
      </w:pPr>
      <w:r>
        <w:t xml:space="preserve">3. Collect Data (Primary/Secondary Data Points)</w:t>
      </w:r>
    </w:p>
    <w:p>
      <w:pPr>
        <w:pStyle w:val="FirstParagraph"/>
      </w:pPr>
      <w:r>
        <w:t xml:space="preserve">Data collection for this PCF analysis relies on a combination of illustrative primary-like data (plausible estimates for material quantities) and secondary data from reputable Life Cycle Inventory (LCI) databases. For a real-world assessment, primary data directly from the manufacturer would be collected for precise material inputs, energy consumption, and waste generation.</w:t>
      </w:r>
    </w:p>
    <w:bookmarkStart w:id="34" w:name="X7b19a13542823e41448405523d7e8feb73aabd1"/>
    <w:p>
      <w:pPr>
        <w:pStyle w:val="Heading3"/>
      </w:pPr>
      <w:r>
        <w:t xml:space="preserve">3.1 Illustrative Material &amp; Energy Inputs (per 1.0 unit of Panadol 10 tablets)</w:t>
      </w:r>
    </w:p>
    <w:p>
      <w:pPr>
        <w:pStyle w:val="FirstParagraph"/>
      </w:pPr>
      <w:r>
        <w:t xml:space="preserve">The following are *illustrative examples* of data points that would be collected or estimated:</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Component</w:t>
            </w:r>
          </w:p>
        </w:tc>
        <w:tc>
          <w:tcPr/>
          <w:p>
            <w:pPr>
              <w:pStyle w:val="Compact"/>
              <w:jc w:val="left"/>
            </w:pPr>
            <w:r>
              <w:t xml:space="preserve">Material Type</w:t>
            </w:r>
          </w:p>
        </w:tc>
        <w:tc>
          <w:tcPr/>
          <w:p>
            <w:pPr>
              <w:pStyle w:val="Compact"/>
              <w:jc w:val="left"/>
            </w:pPr>
            <w:r>
              <w:t xml:space="preserve">Illustrative Quantity (per 10 tablets)</w:t>
            </w:r>
          </w:p>
        </w:tc>
        <w:tc>
          <w:tcPr/>
          <w:p>
            <w:pPr>
              <w:pStyle w:val="Compact"/>
              <w:jc w:val="left"/>
            </w:pPr>
            <w:r>
              <w:t xml:space="preserve">Unit</w:t>
            </w:r>
          </w:p>
        </w:tc>
        <w:tc>
          <w:tcPr/>
          <w:p>
            <w:pPr>
              <w:pStyle w:val="Compact"/>
              <w:jc w:val="left"/>
            </w:pPr>
            <w:r>
              <w:t xml:space="preserve">Notes</w:t>
            </w:r>
          </w:p>
        </w:tc>
      </w:tr>
      <w:tr>
        <w:tc>
          <w:tcPr/>
          <w:p>
            <w:pPr>
              <w:pStyle w:val="Compact"/>
              <w:jc w:val="left"/>
            </w:pPr>
            <w:r>
              <w:t xml:space="preserve">Paracetamol (API)</w:t>
            </w:r>
          </w:p>
        </w:tc>
        <w:tc>
          <w:tcPr/>
          <w:p>
            <w:pPr>
              <w:pStyle w:val="Compact"/>
              <w:jc w:val="left"/>
            </w:pPr>
            <w:r>
              <w:t xml:space="preserve">Active Pharmaceutical Ingredient</w:t>
            </w:r>
          </w:p>
        </w:tc>
        <w:tc>
          <w:tcPr/>
          <w:p>
            <w:pPr>
              <w:pStyle w:val="Compact"/>
              <w:jc w:val="left"/>
            </w:pPr>
            <w:r>
              <w:t xml:space="preserve">5.0</w:t>
            </w:r>
          </w:p>
        </w:tc>
        <w:tc>
          <w:tcPr/>
          <w:p>
            <w:pPr>
              <w:pStyle w:val="Compact"/>
              <w:jc w:val="left"/>
            </w:pPr>
            <w:r>
              <w:t xml:space="preserve">g</w:t>
            </w:r>
          </w:p>
        </w:tc>
        <w:tc>
          <w:tcPr/>
          <w:p>
            <w:pPr>
              <w:pStyle w:val="Compact"/>
              <w:jc w:val="left"/>
            </w:pPr>
            <w:r>
              <w:t xml:space="preserve">10 tablets x 500 mg/tablet</w:t>
            </w:r>
          </w:p>
        </w:tc>
      </w:tr>
      <w:tr>
        <w:tc>
          <w:tcPr/>
          <w:p>
            <w:pPr>
              <w:pStyle w:val="Compact"/>
              <w:jc w:val="left"/>
            </w:pPr>
            <w:r>
              <w:t xml:space="preserve">Excipients (Starch, Povidone, Mg Stearate, Talc, etc.)</w:t>
            </w:r>
          </w:p>
        </w:tc>
        <w:tc>
          <w:tcPr/>
          <w:p>
            <w:pPr>
              <w:pStyle w:val="Compact"/>
              <w:jc w:val="left"/>
            </w:pPr>
            <w:r>
              <w:t xml:space="preserve">Binder, Disintegrant, Lubricant, Glidant</w:t>
            </w:r>
          </w:p>
        </w:tc>
        <w:tc>
          <w:tcPr/>
          <w:p>
            <w:pPr>
              <w:pStyle w:val="Compact"/>
              <w:jc w:val="left"/>
            </w:pPr>
            <w:r>
              <w:t xml:space="preserve">2.0</w:t>
            </w:r>
          </w:p>
        </w:tc>
        <w:tc>
          <w:tcPr/>
          <w:p>
            <w:pPr>
              <w:pStyle w:val="Compact"/>
              <w:jc w:val="left"/>
            </w:pPr>
            <w:r>
              <w:t xml:space="preserve">g</w:t>
            </w:r>
          </w:p>
        </w:tc>
        <w:tc>
          <w:tcPr/>
          <w:p>
            <w:pPr>
              <w:pStyle w:val="Compact"/>
              <w:jc w:val="left"/>
            </w:pPr>
            <w:r>
              <w:t xml:space="preserve">Estimated total for a 500mg tablet formulation.</w:t>
            </w:r>
          </w:p>
        </w:tc>
      </w:tr>
      <w:tr>
        <w:tc>
          <w:tcPr/>
          <w:p>
            <w:pPr>
              <w:pStyle w:val="Compact"/>
              <w:jc w:val="left"/>
            </w:pPr>
            <w:r>
              <w:t xml:space="preserve">Blister Film</w:t>
            </w:r>
          </w:p>
        </w:tc>
        <w:tc>
          <w:tcPr/>
          <w:p>
            <w:pPr>
              <w:pStyle w:val="Compact"/>
              <w:jc w:val="left"/>
            </w:pPr>
            <w:r>
              <w:t xml:space="preserve">PVC/PVdC</w:t>
            </w:r>
          </w:p>
        </w:tc>
        <w:tc>
          <w:tcPr/>
          <w:p>
            <w:pPr>
              <w:pStyle w:val="Compact"/>
              <w:jc w:val="left"/>
            </w:pPr>
            <w:r>
              <w:t xml:space="preserve">1.5</w:t>
            </w:r>
          </w:p>
        </w:tc>
        <w:tc>
          <w:tcPr/>
          <w:p>
            <w:pPr>
              <w:pStyle w:val="Compact"/>
              <w:jc w:val="left"/>
            </w:pPr>
            <w:r>
              <w:t xml:space="preserve">g</w:t>
            </w:r>
          </w:p>
        </w:tc>
        <w:tc>
          <w:tcPr/>
          <w:p>
            <w:pPr>
              <w:pStyle w:val="Compact"/>
              <w:jc w:val="left"/>
            </w:pPr>
            <w:r>
              <w:t xml:space="preserve">Based on typical blister pack dimensions for 10 tablets.</w:t>
            </w:r>
          </w:p>
        </w:tc>
      </w:tr>
      <w:tr>
        <w:tc>
          <w:tcPr/>
          <w:p>
            <w:pPr>
              <w:pStyle w:val="Compact"/>
              <w:jc w:val="left"/>
            </w:pPr>
            <w:r>
              <w:t xml:space="preserve">Blister Foil</w:t>
            </w:r>
          </w:p>
        </w:tc>
        <w:tc>
          <w:tcPr/>
          <w:p>
            <w:pPr>
              <w:pStyle w:val="Compact"/>
              <w:jc w:val="left"/>
            </w:pPr>
            <w:r>
              <w:t xml:space="preserve">Aluminium</w:t>
            </w:r>
          </w:p>
        </w:tc>
        <w:tc>
          <w:tcPr/>
          <w:p>
            <w:pPr>
              <w:pStyle w:val="Compact"/>
              <w:jc w:val="left"/>
            </w:pPr>
            <w:r>
              <w:t xml:space="preserve">0.8</w:t>
            </w:r>
          </w:p>
        </w:tc>
        <w:tc>
          <w:tcPr/>
          <w:p>
            <w:pPr>
              <w:pStyle w:val="Compact"/>
              <w:jc w:val="left"/>
            </w:pPr>
            <w:r>
              <w:t xml:space="preserve">g</w:t>
            </w:r>
          </w:p>
        </w:tc>
        <w:tc>
          <w:tcPr/>
          <w:p>
            <w:pPr>
              <w:pStyle w:val="Compact"/>
              <w:jc w:val="left"/>
            </w:pPr>
            <w:r>
              <w:t xml:space="preserve">Based on typical blister pack dimensions.</w:t>
            </w:r>
          </w:p>
        </w:tc>
      </w:tr>
      <w:tr>
        <w:tc>
          <w:tcPr/>
          <w:p>
            <w:pPr>
              <w:pStyle w:val="Compact"/>
              <w:jc w:val="left"/>
            </w:pPr>
            <w:r>
              <w:t xml:space="preserve">Carton Box</w:t>
            </w:r>
          </w:p>
        </w:tc>
        <w:tc>
          <w:tcPr/>
          <w:p>
            <w:pPr>
              <w:pStyle w:val="Compact"/>
              <w:jc w:val="left"/>
            </w:pPr>
            <w:r>
              <w:t xml:space="preserve">Bleached Paperboard</w:t>
            </w:r>
          </w:p>
        </w:tc>
        <w:tc>
          <w:tcPr/>
          <w:p>
            <w:pPr>
              <w:pStyle w:val="Compact"/>
              <w:jc w:val="left"/>
            </w:pPr>
            <w:r>
              <w:t xml:space="preserve">5.0</w:t>
            </w:r>
          </w:p>
        </w:tc>
        <w:tc>
          <w:tcPr/>
          <w:p>
            <w:pPr>
              <w:pStyle w:val="Compact"/>
              <w:jc w:val="left"/>
            </w:pPr>
            <w:r>
              <w:t xml:space="preserve">g</w:t>
            </w:r>
          </w:p>
        </w:tc>
        <w:tc>
          <w:tcPr/>
          <w:p>
            <w:pPr>
              <w:pStyle w:val="Compact"/>
              <w:jc w:val="left"/>
            </w:pPr>
            <w:r>
              <w:t xml:space="preserve">Small carton for 1 blister.</w:t>
            </w:r>
          </w:p>
        </w:tc>
      </w:tr>
      <w:tr>
        <w:tc>
          <w:tcPr/>
          <w:p>
            <w:pPr>
              <w:pStyle w:val="Compact"/>
              <w:jc w:val="left"/>
            </w:pPr>
            <w:r>
              <w:t xml:space="preserve">Patient Information Leaflet</w:t>
            </w:r>
          </w:p>
        </w:tc>
        <w:tc>
          <w:tcPr/>
          <w:p>
            <w:pPr>
              <w:pStyle w:val="Compact"/>
              <w:jc w:val="left"/>
            </w:pPr>
            <w:r>
              <w:t xml:space="preserve">Paper (Printed)</w:t>
            </w:r>
          </w:p>
        </w:tc>
        <w:tc>
          <w:tcPr/>
          <w:p>
            <w:pPr>
              <w:pStyle w:val="Compact"/>
              <w:jc w:val="left"/>
            </w:pPr>
            <w:r>
              <w:t xml:space="preserve">1.0</w:t>
            </w:r>
          </w:p>
        </w:tc>
        <w:tc>
          <w:tcPr/>
          <w:p>
            <w:pPr>
              <w:pStyle w:val="Compact"/>
              <w:jc w:val="left"/>
            </w:pPr>
            <w:r>
              <w:t xml:space="preserve">g</w:t>
            </w:r>
          </w:p>
        </w:tc>
        <w:tc>
          <w:tcPr/>
          <w:p>
            <w:pPr>
              <w:pStyle w:val="Compact"/>
              <w:jc w:val="left"/>
            </w:pPr>
            <w:r>
              <w:t xml:space="preserve">Small, folded leaflet.</w:t>
            </w:r>
          </w:p>
        </w:tc>
      </w:tr>
      <w:tr>
        <w:tc>
          <w:tcPr/>
          <w:p>
            <w:pPr>
              <w:pStyle w:val="Compact"/>
              <w:jc w:val="left"/>
            </w:pPr>
            <w:r>
              <w:t xml:space="preserve">Electricity Consumption (Manufacturing)</w:t>
            </w:r>
          </w:p>
        </w:tc>
        <w:tc>
          <w:tcPr/>
          <w:p>
            <w:pPr>
              <w:pStyle w:val="Compact"/>
              <w:jc w:val="left"/>
            </w:pPr>
            <w:r>
              <w:t xml:space="preserve">Energy</w:t>
            </w:r>
          </w:p>
        </w:tc>
        <w:tc>
          <w:tcPr/>
          <w:p>
            <w:pPr>
              <w:pStyle w:val="Compact"/>
              <w:jc w:val="left"/>
            </w:pPr>
            <w:r>
              <w:t xml:space="preserve">0.01</w:t>
            </w:r>
          </w:p>
        </w:tc>
        <w:tc>
          <w:tcPr/>
          <w:p>
            <w:pPr>
              <w:pStyle w:val="Compact"/>
              <w:jc w:val="left"/>
            </w:pPr>
            <w:r>
              <w:t xml:space="preserve">kWh</w:t>
            </w:r>
          </w:p>
        </w:tc>
        <w:tc>
          <w:tcPr/>
          <w:p>
            <w:pPr>
              <w:pStyle w:val="Compact"/>
              <w:jc w:val="left"/>
            </w:pPr>
            <w:r>
              <w:t xml:space="preserve">Estimated per pack for tablet compression, blistering, etc.</w:t>
            </w:r>
          </w:p>
        </w:tc>
      </w:tr>
      <w:tr>
        <w:tc>
          <w:tcPr/>
          <w:p>
            <w:pPr>
              <w:pStyle w:val="Compact"/>
              <w:jc w:val="left"/>
            </w:pPr>
            <w:r>
              <w:t xml:space="preserve">Natural Gas Consumption (Manufacturing)</w:t>
            </w:r>
          </w:p>
        </w:tc>
        <w:tc>
          <w:tcPr/>
          <w:p>
            <w:pPr>
              <w:pStyle w:val="Compact"/>
              <w:jc w:val="left"/>
            </w:pPr>
            <w:r>
              <w:t xml:space="preserve">Energy</w:t>
            </w:r>
          </w:p>
        </w:tc>
        <w:tc>
          <w:tcPr/>
          <w:p>
            <w:pPr>
              <w:pStyle w:val="Compact"/>
              <w:jc w:val="left"/>
            </w:pPr>
            <w:r>
              <w:t xml:space="preserve">0.005</w:t>
            </w:r>
          </w:p>
        </w:tc>
        <w:tc>
          <w:tcPr/>
          <w:p>
            <w:pPr>
              <w:pStyle w:val="Compact"/>
              <w:jc w:val="left"/>
            </w:pPr>
            <w:r>
              <w:t xml:space="preserve">m³</w:t>
            </w:r>
          </w:p>
        </w:tc>
        <w:tc>
          <w:tcPr/>
          <w:p>
            <w:pPr>
              <w:pStyle w:val="Compact"/>
              <w:jc w:val="left"/>
            </w:pPr>
            <w:r>
              <w:t xml:space="preserve">Estimated per pack for drying/heating processes.</w:t>
            </w:r>
          </w:p>
        </w:tc>
      </w:tr>
      <w:tr>
        <w:tc>
          <w:tcPr/>
          <w:p>
            <w:pPr>
              <w:pStyle w:val="Compact"/>
              <w:jc w:val="left"/>
            </w:pPr>
            <w:r>
              <w:t xml:space="preserve">Transportation (Raw Materials Inbound)</w:t>
            </w:r>
          </w:p>
        </w:tc>
        <w:tc>
          <w:tcPr/>
          <w:p>
            <w:pPr>
              <w:pStyle w:val="Compact"/>
              <w:jc w:val="left"/>
            </w:pPr>
            <w:r>
              <w:t xml:space="preserve">Diesel (EU average)</w:t>
            </w:r>
          </w:p>
        </w:tc>
        <w:tc>
          <w:tcPr/>
          <w:p>
            <w:pPr>
              <w:pStyle w:val="Compact"/>
              <w:jc w:val="left"/>
            </w:pPr>
            <w:r>
              <w:t xml:space="preserve">0.001</w:t>
            </w:r>
          </w:p>
        </w:tc>
        <w:tc>
          <w:tcPr/>
          <w:p>
            <w:pPr>
              <w:pStyle w:val="Compact"/>
              <w:jc w:val="left"/>
            </w:pPr>
            <w:r>
              <w:t xml:space="preserve">liter</w:t>
            </w:r>
          </w:p>
        </w:tc>
        <w:tc>
          <w:tcPr/>
          <w:p>
            <w:pPr>
              <w:pStyle w:val="Compact"/>
              <w:jc w:val="left"/>
            </w:pPr>
            <w:r>
              <w:t xml:space="preserve">Weighted average for European road transport.</w:t>
            </w:r>
          </w:p>
        </w:tc>
      </w:tr>
      <w:tr>
        <w:tc>
          <w:tcPr/>
          <w:p>
            <w:pPr>
              <w:pStyle w:val="Compact"/>
              <w:jc w:val="left"/>
            </w:pPr>
            <w:r>
              <w:t xml:space="preserve">Manufacturing Waste (Disposal)</w:t>
            </w:r>
          </w:p>
        </w:tc>
        <w:tc>
          <w:tcPr/>
          <w:p>
            <w:pPr>
              <w:pStyle w:val="Compact"/>
              <w:jc w:val="left"/>
            </w:pPr>
            <w:r>
              <w:t xml:space="preserve">Mixed Waste (non-hazardous)</w:t>
            </w:r>
          </w:p>
        </w:tc>
        <w:tc>
          <w:tcPr/>
          <w:p>
            <w:pPr>
              <w:pStyle w:val="Compact"/>
              <w:jc w:val="left"/>
            </w:pPr>
            <w:r>
              <w:t xml:space="preserve">0.5</w:t>
            </w:r>
          </w:p>
        </w:tc>
        <w:tc>
          <w:tcPr/>
          <w:p>
            <w:pPr>
              <w:pStyle w:val="Compact"/>
              <w:jc w:val="left"/>
            </w:pPr>
            <w:r>
              <w:t xml:space="preserve">g</w:t>
            </w:r>
          </w:p>
        </w:tc>
        <w:tc>
          <w:tcPr/>
          <w:p>
            <w:pPr>
              <w:pStyle w:val="Compact"/>
              <w:jc w:val="left"/>
            </w:pPr>
            <w:r>
              <w:t xml:space="preserve">Estimated waste generated per pack.</w:t>
            </w:r>
          </w:p>
        </w:tc>
      </w:tr>
    </w:tbl>
    <w:bookmarkEnd w:id="34"/>
    <w:bookmarkStart w:id="35" w:name="secondary-data-sources-emission-factors"/>
    <w:p>
      <w:pPr>
        <w:pStyle w:val="Heading3"/>
      </w:pPr>
      <w:r>
        <w:t xml:space="preserve">3.2 Secondary Data Sources (Emission Factors)</w:t>
      </w:r>
    </w:p>
    <w:p>
      <w:pPr>
        <w:pStyle w:val="FirstParagraph"/>
      </w:pPr>
      <w:r>
        <w:t xml:space="preserve">Emission factors (EFs) are crucial for converting activity data into greenhouse gas emissions (CO2e). For this analysis, we draw upon industry-standard, publicly available LCI databases:</w:t>
      </w:r>
    </w:p>
    <w:p>
      <w:pPr>
        <w:numPr>
          <w:ilvl w:val="0"/>
          <w:numId w:val="1012"/>
        </w:numPr>
        <w:pStyle w:val="Compact"/>
      </w:pPr>
      <w:r>
        <w:t xml:space="preserve">**Ecoinvent Database:** A comprehensive, internationally recognized Life Cycle Inventory database. Ecoinvent provides a rich pool of secondary data for Scope 3 GHG reporting, offering regional or global average GHG emission factors for a vast array of materials, processes, and energy carriers. It covers various sectors, including chemicals, plastics, metals, pulp and paper, and electricity. Ecoinvent also integrates the latest IPCC assessment reports for characterization factors, including the IPCC 2021 method.</w:t>
      </w:r>
    </w:p>
    <w:p>
      <w:pPr>
        <w:numPr>
          <w:ilvl w:val="0"/>
          <w:numId w:val="1012"/>
        </w:numPr>
        <w:pStyle w:val="Compact"/>
      </w:pPr>
      <w:r>
        <w:t xml:space="preserve">**National Databases (e.g., Netherlands Enterprise Agency (RVO), `co2emissiefactoren.nl`):** For country-specific energy mixes, such as the Netherlands\' electricity grid mix and natural gas supply, national sources provide localized and up-to-date emission factors, ensuring geographical relevance.</w:t>
      </w:r>
    </w:p>
    <w:p>
      <w:pPr>
        <w:numPr>
          <w:ilvl w:val="0"/>
          <w:numId w:val="1012"/>
        </w:numPr>
        <w:pStyle w:val="Compact"/>
      </w:pPr>
      <w:r>
        <w:t xml:space="preserve">**DEFRA (Department for Environment, Food &amp; Rural Affairs) Equivalent:** While specifically mentioning DEFRA, we refer to comparable, high-quality governmental or industry-specific datasets that provide relevant emission factors for packaging and material production, consistent with European context.</w:t>
      </w:r>
    </w:p>
    <w:p>
      <w:r>
        <w:pict>
          <v:rect style="width:0;height:1.5pt" o:hralign="center" o:hrstd="t" o:hr="t"/>
        </w:pict>
      </w:r>
    </w:p>
    <w:bookmarkEnd w:id="35"/>
    <w:bookmarkEnd w:id="36"/>
    <w:bookmarkStart w:id="43" w:name="Xb404f6bea4a0013006ec7a9103609d9ea6643c1"/>
    <w:p>
      <w:pPr>
        <w:pStyle w:val="Heading2"/>
      </w:pPr>
      <w:r>
        <w:t xml:space="preserve">4. Calculate Emissions (Activity * Emission Factor = CO2e)</w:t>
      </w:r>
    </w:p>
    <w:p>
      <w:pPr>
        <w:pStyle w:val="FirstParagraph"/>
      </w:pPr>
      <w:r>
        <w:t xml:space="preserve">The calculation phase involves multiplying the activity data (from Section 3) by the appropriate emission factors to quantify the greenhouse gas emissions in CO2 equivalents (CO2e). These emissions are then categorized according to the GHG Protocol\'s scopes.</w:t>
      </w:r>
    </w:p>
    <w:bookmarkStart w:id="37" w:name="X328bbedf570dbe52520ba2788f7d0aacfb4565a"/>
    <w:p>
      <w:pPr>
        <w:pStyle w:val="Heading3"/>
      </w:pPr>
      <w:r>
        <w:t xml:space="preserve">4.1 Illustrative Emission Factors Used (Examples)</w:t>
      </w:r>
    </w:p>
    <w:p>
      <w:pPr>
        <w:pStyle w:val="FirstParagraph"/>
      </w:pPr>
      <w:r>
        <w:t xml:space="preserve">The following table provides illustrative emission factors derived from reputable sources like Ecoinvent and national databases, applied to the previously defined activity data.</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Activity Data</w:t>
            </w:r>
          </w:p>
        </w:tc>
        <w:tc>
          <w:tcPr/>
          <w:p>
            <w:pPr>
              <w:pStyle w:val="Compact"/>
              <w:jc w:val="left"/>
            </w:pPr>
            <w:r>
              <w:t xml:space="preserve">Illustrative Emission Factor (CO2e)</w:t>
            </w:r>
          </w:p>
        </w:tc>
        <w:tc>
          <w:tcPr/>
          <w:p>
            <w:pPr>
              <w:pStyle w:val="Compact"/>
              <w:jc w:val="left"/>
            </w:pPr>
            <w:r>
              <w:t xml:space="preserve">Unit</w:t>
            </w:r>
          </w:p>
        </w:tc>
        <w:tc>
          <w:tcPr/>
          <w:p>
            <w:pPr>
              <w:pStyle w:val="Compact"/>
              <w:jc w:val="left"/>
            </w:pPr>
            <w:r>
              <w:t xml:space="preserve">Source/Context</w:t>
            </w:r>
          </w:p>
        </w:tc>
      </w:tr>
      <w:tr>
        <w:tc>
          <w:tcPr/>
          <w:p>
            <w:pPr>
              <w:pStyle w:val="Compact"/>
              <w:jc w:val="left"/>
            </w:pPr>
            <w:r>
              <w:t xml:space="preserve">Paracetamol API Production</w:t>
            </w:r>
          </w:p>
        </w:tc>
        <w:tc>
          <w:tcPr/>
          <w:p>
            <w:pPr>
              <w:pStyle w:val="Compact"/>
              <w:jc w:val="left"/>
            </w:pPr>
            <w:r>
              <w:t xml:space="preserve">70.0</w:t>
            </w:r>
          </w:p>
        </w:tc>
        <w:tc>
          <w:tcPr/>
          <w:p>
            <w:pPr>
              <w:pStyle w:val="Compact"/>
              <w:jc w:val="left"/>
            </w:pPr>
            <w:r>
              <w:t xml:space="preserve">kg CO2e / kg API</w:t>
            </w:r>
          </w:p>
        </w:tc>
        <w:tc>
          <w:tcPr/>
          <w:p>
            <w:pPr>
              <w:pStyle w:val="Compact"/>
              <w:jc w:val="left"/>
            </w:pPr>
            <w:r>
              <w:t xml:space="preserve">Based on general pharmaceutical API production LCA, informed by oral tablet studies (e.g., 38g CO2e for 1g tablet production includes API).</w:t>
            </w:r>
          </w:p>
        </w:tc>
      </w:tr>
      <w:tr>
        <w:tc>
          <w:tcPr/>
          <w:p>
            <w:pPr>
              <w:pStyle w:val="Compact"/>
              <w:jc w:val="left"/>
            </w:pPr>
            <w:r>
              <w:t xml:space="preserve">Excipients Production</w:t>
            </w:r>
          </w:p>
        </w:tc>
        <w:tc>
          <w:tcPr/>
          <w:p>
            <w:pPr>
              <w:pStyle w:val="Compact"/>
              <w:jc w:val="left"/>
            </w:pPr>
            <w:r>
              <w:t xml:space="preserve">2.0</w:t>
            </w:r>
          </w:p>
        </w:tc>
        <w:tc>
          <w:tcPr/>
          <w:p>
            <w:pPr>
              <w:pStyle w:val="Compact"/>
              <w:jc w:val="left"/>
            </w:pPr>
            <w:r>
              <w:t xml:space="preserve">kg CO2e / kg excipient</w:t>
            </w:r>
          </w:p>
        </w:tc>
        <w:tc>
          <w:tcPr/>
          <w:p>
            <w:pPr>
              <w:pStyle w:val="Compact"/>
              <w:jc w:val="left"/>
            </w:pPr>
            <w:r>
              <w:t xml:space="preserve">Ecoinvent averages for common starch, talc, povidone.</w:t>
            </w:r>
          </w:p>
        </w:tc>
      </w:tr>
      <w:tr>
        <w:tc>
          <w:tcPr/>
          <w:p>
            <w:pPr>
              <w:pStyle w:val="Compact"/>
              <w:jc w:val="left"/>
            </w:pPr>
            <w:r>
              <w:t xml:space="preserve">PVC/PVdC Film Production</w:t>
            </w:r>
          </w:p>
        </w:tc>
        <w:tc>
          <w:tcPr/>
          <w:p>
            <w:pPr>
              <w:pStyle w:val="Compact"/>
              <w:jc w:val="left"/>
            </w:pPr>
            <w:r>
              <w:t xml:space="preserve">2.5</w:t>
            </w:r>
          </w:p>
        </w:tc>
        <w:tc>
          <w:tcPr/>
          <w:p>
            <w:pPr>
              <w:pStyle w:val="Compact"/>
              <w:jc w:val="left"/>
            </w:pPr>
            <w:r>
              <w:t xml:space="preserve">kg CO2e / kg PVC</w:t>
            </w:r>
          </w:p>
        </w:tc>
        <w:tc>
          <w:tcPr/>
          <w:p>
            <w:pPr>
              <w:pStyle w:val="Compact"/>
              <w:jc w:val="left"/>
            </w:pPr>
            <w:r>
              <w:t xml:space="preserve">Ecoinvent data for polyvinyl chloride.</w:t>
            </w:r>
          </w:p>
        </w:tc>
      </w:tr>
      <w:tr>
        <w:tc>
          <w:tcPr/>
          <w:p>
            <w:pPr>
              <w:pStyle w:val="Compact"/>
              <w:jc w:val="left"/>
            </w:pPr>
            <w:r>
              <w:t xml:space="preserve">Aluminium Foil Production</w:t>
            </w:r>
          </w:p>
        </w:tc>
        <w:tc>
          <w:tcPr/>
          <w:p>
            <w:pPr>
              <w:pStyle w:val="Compact"/>
              <w:jc w:val="left"/>
            </w:pPr>
            <w:r>
              <w:t xml:space="preserve">3.17</w:t>
            </w:r>
          </w:p>
        </w:tc>
        <w:tc>
          <w:tcPr/>
          <w:p>
            <w:pPr>
              <w:pStyle w:val="Compact"/>
              <w:jc w:val="left"/>
            </w:pPr>
            <w:r>
              <w:t xml:space="preserve">kg CO2e / kg Aluminium</w:t>
            </w:r>
          </w:p>
        </w:tc>
        <w:tc>
          <w:tcPr/>
          <w:p>
            <w:pPr>
              <w:pStyle w:val="Compact"/>
              <w:jc w:val="left"/>
            </w:pPr>
            <w:r>
              <w:t xml:space="preserve">European average for aluminium foil.</w:t>
            </w:r>
          </w:p>
        </w:tc>
      </w:tr>
      <w:tr>
        <w:tc>
          <w:tcPr/>
          <w:p>
            <w:pPr>
              <w:pStyle w:val="Compact"/>
              <w:jc w:val="left"/>
            </w:pPr>
            <w:r>
              <w:t xml:space="preserve">Bleached Paperboard Production</w:t>
            </w:r>
          </w:p>
        </w:tc>
        <w:tc>
          <w:tcPr/>
          <w:p>
            <w:pPr>
              <w:pStyle w:val="Compact"/>
              <w:jc w:val="left"/>
            </w:pPr>
            <w:r>
              <w:t xml:space="preserve">1.2</w:t>
            </w:r>
          </w:p>
        </w:tc>
        <w:tc>
          <w:tcPr/>
          <w:p>
            <w:pPr>
              <w:pStyle w:val="Compact"/>
              <w:jc w:val="left"/>
            </w:pPr>
            <w:r>
              <w:t xml:space="preserve">kg CO2e / kg paperboard</w:t>
            </w:r>
          </w:p>
        </w:tc>
        <w:tc>
          <w:tcPr/>
          <w:p>
            <w:pPr>
              <w:pStyle w:val="Compact"/>
              <w:jc w:val="left"/>
            </w:pPr>
            <w:r>
              <w:t xml:space="preserve">Ecoinvent for solid bleached paperboard.</w:t>
            </w:r>
          </w:p>
        </w:tc>
      </w:tr>
      <w:tr>
        <w:tc>
          <w:tcPr/>
          <w:p>
            <w:pPr>
              <w:pStyle w:val="Compact"/>
              <w:jc w:val="left"/>
            </w:pPr>
            <w:r>
              <w:t xml:space="preserve">Printed Paper Production (Leaflet)</w:t>
            </w:r>
          </w:p>
        </w:tc>
        <w:tc>
          <w:tcPr/>
          <w:p>
            <w:pPr>
              <w:pStyle w:val="Compact"/>
              <w:jc w:val="left"/>
            </w:pPr>
            <w:r>
              <w:t xml:space="preserve">1.0</w:t>
            </w:r>
          </w:p>
        </w:tc>
        <w:tc>
          <w:tcPr/>
          <w:p>
            <w:pPr>
              <w:pStyle w:val="Compact"/>
              <w:jc w:val="left"/>
            </w:pPr>
            <w:r>
              <w:t xml:space="preserve">kg CO2e / kg paper</w:t>
            </w:r>
          </w:p>
        </w:tc>
        <w:tc>
          <w:tcPr/>
          <w:p>
            <w:pPr>
              <w:pStyle w:val="Compact"/>
              <w:jc w:val="left"/>
            </w:pPr>
            <w:r>
              <w:t xml:space="preserve">Ecoinvent for printed paper, adjusted for leaflet size.</w:t>
            </w:r>
          </w:p>
        </w:tc>
      </w:tr>
      <w:tr>
        <w:tc>
          <w:tcPr/>
          <w:p>
            <w:pPr>
              <w:pStyle w:val="Compact"/>
              <w:jc w:val="left"/>
            </w:pPr>
            <w:r>
              <w:t xml:space="preserve">Electricity (Netherlands Grid Mix)</w:t>
            </w:r>
          </w:p>
        </w:tc>
        <w:tc>
          <w:tcPr/>
          <w:p>
            <w:pPr>
              <w:pStyle w:val="Compact"/>
              <w:jc w:val="left"/>
            </w:pPr>
            <w:r>
              <w:t xml:space="preserve">0.45</w:t>
            </w:r>
          </w:p>
        </w:tc>
        <w:tc>
          <w:tcPr/>
          <w:p>
            <w:pPr>
              <w:pStyle w:val="Compact"/>
              <w:jc w:val="left"/>
            </w:pPr>
            <w:r>
              <w:t xml:space="preserve">kg CO2e / kWh</w:t>
            </w:r>
          </w:p>
        </w:tc>
        <w:tc>
          <w:tcPr/>
          <w:p>
            <w:pPr>
              <w:pStyle w:val="Compact"/>
              <w:jc w:val="left"/>
            </w:pPr>
            <w:r>
              <w:t xml:space="preserve">Netherlands grid mix (IEA via Climatiq / RVO references).</w:t>
            </w:r>
          </w:p>
        </w:tc>
      </w:tr>
      <w:tr>
        <w:tc>
          <w:tcPr/>
          <w:p>
            <w:pPr>
              <w:pStyle w:val="Compact"/>
              <w:jc w:val="left"/>
            </w:pPr>
            <w:r>
              <w:t xml:space="preserve">Natural Gas Combustion (Europe)</w:t>
            </w:r>
          </w:p>
        </w:tc>
        <w:tc>
          <w:tcPr/>
          <w:p>
            <w:pPr>
              <w:pStyle w:val="Compact"/>
              <w:jc w:val="left"/>
            </w:pPr>
            <w:r>
              <w:t xml:space="preserve">0.244</w:t>
            </w:r>
          </w:p>
        </w:tc>
        <w:tc>
          <w:tcPr/>
          <w:p>
            <w:pPr>
              <w:pStyle w:val="Compact"/>
              <w:jc w:val="left"/>
            </w:pPr>
            <w:r>
              <w:t xml:space="preserve">kg CO2e / kWh (or ~2.085 kg CO2e/m³)</w:t>
            </w:r>
          </w:p>
        </w:tc>
        <w:tc>
          <w:tcPr/>
          <w:p>
            <w:pPr>
              <w:pStyle w:val="Compact"/>
              <w:jc w:val="left"/>
            </w:pPr>
            <w:r>
              <w:t xml:space="preserve">European average / Dutch specific factor.</w:t>
            </w:r>
          </w:p>
        </w:tc>
      </w:tr>
      <w:tr>
        <w:tc>
          <w:tcPr/>
          <w:p>
            <w:pPr>
              <w:pStyle w:val="Compact"/>
              <w:jc w:val="left"/>
            </w:pPr>
            <w:r>
              <w:t xml:space="preserve">Road Transport (Diesel, EU Average)</w:t>
            </w:r>
          </w:p>
        </w:tc>
        <w:tc>
          <w:tcPr/>
          <w:p>
            <w:pPr>
              <w:pStyle w:val="Compact"/>
              <w:jc w:val="left"/>
            </w:pPr>
            <w:r>
              <w:t xml:space="preserve">2.7</w:t>
            </w:r>
          </w:p>
        </w:tc>
        <w:tc>
          <w:tcPr/>
          <w:p>
            <w:pPr>
              <w:pStyle w:val="Compact"/>
              <w:jc w:val="left"/>
            </w:pPr>
            <w:r>
              <w:t xml:space="preserve">kg CO2e / liter diesel-equivalent</w:t>
            </w:r>
          </w:p>
        </w:tc>
        <w:tc>
          <w:tcPr/>
          <w:p>
            <w:pPr>
              <w:pStyle w:val="Compact"/>
              <w:jc w:val="left"/>
            </w:pPr>
            <w:r>
              <w:t xml:space="preserve">Ecoinvent/DEFRA equivalents for average freight transport.</w:t>
            </w:r>
          </w:p>
        </w:tc>
      </w:tr>
      <w:tr>
        <w:tc>
          <w:tcPr/>
          <w:p>
            <w:pPr>
              <w:pStyle w:val="Compact"/>
              <w:jc w:val="left"/>
            </w:pPr>
            <w:r>
              <w:t xml:space="preserve">Waste Treatment (Landfill, non-hazardous)</w:t>
            </w:r>
          </w:p>
        </w:tc>
        <w:tc>
          <w:tcPr/>
          <w:p>
            <w:pPr>
              <w:pStyle w:val="Compact"/>
              <w:jc w:val="left"/>
            </w:pPr>
            <w:r>
              <w:t xml:space="preserve">0.1</w:t>
            </w:r>
          </w:p>
        </w:tc>
        <w:tc>
          <w:tcPr/>
          <w:p>
            <w:pPr>
              <w:pStyle w:val="Compact"/>
              <w:jc w:val="left"/>
            </w:pPr>
            <w:r>
              <w:t xml:space="preserve">kg CO2e / kg waste</w:t>
            </w:r>
          </w:p>
        </w:tc>
        <w:tc>
          <w:tcPr/>
          <w:p>
            <w:pPr>
              <w:pStyle w:val="Compact"/>
              <w:jc w:val="left"/>
            </w:pPr>
            <w:r>
              <w:t xml:space="preserve">Ecoinvent average for landfilling.</w:t>
            </w:r>
          </w:p>
        </w:tc>
      </w:tr>
    </w:tbl>
    <w:bookmarkEnd w:id="37"/>
    <w:bookmarkStart w:id="38" w:name="X3da028b673b5d0b3b285f6b601e73a81b615515"/>
    <w:p>
      <w:pPr>
        <w:pStyle w:val="Heading3"/>
      </w:pPr>
      <w:r>
        <w:t xml:space="preserve">4.2 GHG Emissions by Scope (Illustrative Calculation)</w:t>
      </w:r>
    </w:p>
    <w:p>
      <w:pPr>
        <w:pStyle w:val="FirstParagraph"/>
      </w:pPr>
      <w:r>
        <w:t xml:space="preserve">Based on the illustrative data and emission factors, the total Product Carbon Footprint for 1.0 unit of Panadol 10 tablets is calculated as follows: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Emission Category</w:t>
            </w:r>
          </w:p>
        </w:tc>
        <w:tc>
          <w:tcPr/>
          <w:p>
            <w:pPr>
              <w:pStyle w:val="Compact"/>
              <w:jc w:val="left"/>
            </w:pPr>
            <w:r>
              <w:t xml:space="preserve">Illustrative CO2e (g) per functional unit</w:t>
            </w:r>
          </w:p>
        </w:tc>
        <w:tc>
          <w:tcPr/>
          <w:p>
            <w:pPr>
              <w:pStyle w:val="Compact"/>
              <w:jc w:val="left"/>
            </w:pPr>
            <w:r>
              <w:t xml:space="preserve">Calculation Basis</w:t>
            </w:r>
          </w:p>
        </w:tc>
      </w:tr>
      <w:tr>
        <w:tc>
          <w:tcPr/>
          <w:p>
            <w:pPr>
              <w:pStyle w:val="Compact"/>
              <w:jc w:val="left"/>
            </w:pPr>
            <w:r>
              <w:rPr>
                <w:bCs/>
                <w:b/>
              </w:rPr>
              <w:t xml:space="preserve">Scope 1 (Direct Emissions)</w:t>
            </w:r>
          </w:p>
        </w:tc>
        <w:tc>
          <w:tcPr/>
          <w:p>
            <w:pPr>
              <w:pStyle w:val="Compact"/>
              <w:jc w:val="left"/>
            </w:pPr>
            <w:r>
              <w:t xml:space="preserve">On-site Natural Gas Combustion</w:t>
            </w:r>
          </w:p>
        </w:tc>
        <w:tc>
          <w:tcPr/>
          <w:p>
            <w:pPr>
              <w:pStyle w:val="Compact"/>
              <w:jc w:val="left"/>
            </w:pPr>
            <w:r>
              <w:t xml:space="preserve">10.43</w:t>
            </w:r>
          </w:p>
        </w:tc>
        <w:tc>
          <w:tcPr/>
          <w:p>
            <w:pPr>
              <w:pStyle w:val="Compact"/>
              <w:jc w:val="left"/>
            </w:pPr>
            <w:r>
              <w:t xml:space="preserve">0.005 m³ Natural Gas * 2085 g CO2e/m³</w:t>
            </w:r>
          </w:p>
        </w:tc>
      </w:tr>
      <w:tr>
        <w:tc>
          <w:tcPr/>
          <w:p>
            <w:pPr>
              <w:pStyle w:val="Compact"/>
              <w:jc w:val="left"/>
            </w:pPr>
            <w:r>
              <w:rPr>
                <w:bCs/>
                <w:b/>
              </w:rPr>
              <w:t xml:space="preserve">Scope 2 (Energy Indirect)</w:t>
            </w:r>
          </w:p>
        </w:tc>
        <w:tc>
          <w:tcPr/>
          <w:p>
            <w:pPr>
              <w:pStyle w:val="Compact"/>
              <w:jc w:val="left"/>
            </w:pPr>
            <w:r>
              <w:t xml:space="preserve">Purchased Electricity (Netherlands)</w:t>
            </w:r>
          </w:p>
        </w:tc>
        <w:tc>
          <w:tcPr/>
          <w:p>
            <w:pPr>
              <w:pStyle w:val="Compact"/>
              <w:jc w:val="left"/>
            </w:pPr>
            <w:r>
              <w:t xml:space="preserve">4.50</w:t>
            </w:r>
          </w:p>
        </w:tc>
        <w:tc>
          <w:tcPr/>
          <w:p>
            <w:pPr>
              <w:pStyle w:val="Compact"/>
              <w:jc w:val="left"/>
            </w:pPr>
            <w:r>
              <w:t xml:space="preserve">0.01 kWh Electricity * 450 g CO2e/kWh</w:t>
            </w:r>
          </w:p>
        </w:tc>
      </w:tr>
      <w:tr>
        <w:tc>
          <w:tcPr>
            <w:vMerge w:val="restart"/>
          </w:tcPr>
          <w:p>
            <w:pPr>
              <w:pStyle w:val="Compact"/>
              <w:jc w:val="left"/>
            </w:pPr>
            <w:r>
              <w:rPr>
                <w:bCs/>
                <w:b/>
              </w:rPr>
              <w:t xml:space="preserve">Scope 3 (Value Chain Indirect)</w:t>
            </w:r>
          </w:p>
        </w:tc>
        <w:tc>
          <w:tcPr/>
          <w:p>
            <w:pPr>
              <w:pStyle w:val="Compact"/>
              <w:jc w:val="left"/>
            </w:pPr>
            <w:r>
              <w:t xml:space="preserve">Purchased Goods &amp; Services: Paracetamol API</w:t>
            </w:r>
          </w:p>
        </w:tc>
        <w:tc>
          <w:tcPr/>
          <w:p>
            <w:pPr>
              <w:pStyle w:val="Compact"/>
              <w:jc w:val="left"/>
            </w:pPr>
            <w:r>
              <w:t xml:space="preserve">350.00</w:t>
            </w:r>
          </w:p>
        </w:tc>
        <w:tc>
          <w:tcPr/>
          <w:p>
            <w:pPr>
              <w:pStyle w:val="Compact"/>
              <w:jc w:val="left"/>
            </w:pPr>
            <w:r>
              <w:t xml:space="preserve">0.005 kg API * 70000 g CO2e/kg API</w:t>
            </w:r>
          </w:p>
        </w:tc>
      </w:tr>
      <w:tr>
        <w:tc>
          <w:tcPr>
            <w:gridSpan w:val="1"/>
            <w:vMerge w:val="continue"/>
          </w:tcPr>
          <w:p>
            <w:pPr/>
          </w:p>
        </w:tc>
        <w:tc>
          <w:tcPr/>
          <w:p>
            <w:pPr>
              <w:pStyle w:val="Compact"/>
              <w:jc w:val="left"/>
            </w:pPr>
            <w:r>
              <w:t xml:space="preserve">Purchased Goods &amp; Services: Excipients</w:t>
            </w:r>
          </w:p>
        </w:tc>
        <w:tc>
          <w:tcPr/>
          <w:p>
            <w:pPr>
              <w:pStyle w:val="Compact"/>
              <w:jc w:val="left"/>
            </w:pPr>
            <w:r>
              <w:t xml:space="preserve">4.00</w:t>
            </w:r>
          </w:p>
        </w:tc>
        <w:tc>
          <w:tcPr/>
          <w:p>
            <w:pPr>
              <w:pStyle w:val="Compact"/>
              <w:jc w:val="left"/>
            </w:pPr>
            <w:r>
              <w:t xml:space="preserve">0.002 kg Excipients * 2000 g CO2e/kg Excipients</w:t>
            </w:r>
          </w:p>
        </w:tc>
      </w:tr>
      <w:tr>
        <w:tc>
          <w:tcPr>
            <w:gridSpan w:val="1"/>
            <w:vMerge w:val="continue"/>
          </w:tcPr>
          <w:p>
            <w:pPr/>
          </w:p>
        </w:tc>
        <w:tc>
          <w:tcPr/>
          <w:p>
            <w:pPr>
              <w:pStyle w:val="Compact"/>
              <w:jc w:val="left"/>
            </w:pPr>
            <w:r>
              <w:t xml:space="preserve">Purchased Goods &amp; Services: Packaging Materials (Blister, Carton, Leaflet)</w:t>
            </w:r>
          </w:p>
        </w:tc>
        <w:tc>
          <w:tcPr/>
          <w:p>
            <w:pPr>
              <w:pStyle w:val="Compact"/>
              <w:jc w:val="left"/>
            </w:pPr>
            <w:r>
              <w:t xml:space="preserve">12.75</w:t>
            </w:r>
          </w:p>
        </w:tc>
        <w:tc>
          <w:tcPr/>
          <w:p>
            <w:pPr>
              <w:pStyle w:val="Compact"/>
              <w:jc w:val="left"/>
            </w:pPr>
            <w:r>
              <w:t xml:space="preserve">(0.0015 kg PVC * 2500 g/kg) + (0.0008 kg Al * 3170 g/kg) + (0.005 kg Paperboard * 1200 g/kg) + (0.001 kg Paper * 1000 g/kg)</w:t>
            </w:r>
          </w:p>
        </w:tc>
      </w:tr>
      <w:tr>
        <w:tc>
          <w:tcPr>
            <w:gridSpan w:val="1"/>
            <w:vMerge w:val="continue"/>
          </w:tcPr>
          <w:p>
            <w:pPr/>
          </w:p>
        </w:tc>
        <w:tc>
          <w:tcPr/>
          <w:p>
            <w:pPr>
              <w:pStyle w:val="Compact"/>
              <w:jc w:val="left"/>
            </w:pPr>
            <w:r>
              <w:t xml:space="preserve">Upstream Transportation (Materials)</w:t>
            </w:r>
          </w:p>
        </w:tc>
        <w:tc>
          <w:tcPr/>
          <w:p>
            <w:pPr>
              <w:pStyle w:val="Compact"/>
              <w:jc w:val="left"/>
            </w:pPr>
            <w:r>
              <w:t xml:space="preserve">2.70</w:t>
            </w:r>
          </w:p>
        </w:tc>
        <w:tc>
          <w:tcPr/>
          <w:p>
            <w:pPr>
              <w:pStyle w:val="Compact"/>
              <w:jc w:val="left"/>
            </w:pPr>
            <w:r>
              <w:t xml:space="preserve">0.001 liter Diesel * 2700 g CO2e/liter</w:t>
            </w:r>
          </w:p>
        </w:tc>
      </w:tr>
      <w:tr>
        <w:tc>
          <w:tcPr>
            <w:gridSpan w:val="1"/>
            <w:vMerge w:val="continue"/>
          </w:tcPr>
          <w:p>
            <w:pPr/>
          </w:p>
        </w:tc>
        <w:tc>
          <w:tcPr/>
          <w:p>
            <w:pPr>
              <w:pStyle w:val="Compact"/>
              <w:jc w:val="left"/>
            </w:pPr>
            <w:r>
              <w:t xml:space="preserve">Waste Generated in Operations (Disposal)</w:t>
            </w:r>
          </w:p>
        </w:tc>
        <w:tc>
          <w:tcPr/>
          <w:p>
            <w:pPr>
              <w:pStyle w:val="Compact"/>
              <w:jc w:val="left"/>
            </w:pPr>
            <w:r>
              <w:t xml:space="preserve">0.05</w:t>
            </w:r>
          </w:p>
        </w:tc>
        <w:tc>
          <w:tcPr/>
          <w:p>
            <w:pPr>
              <w:pStyle w:val="Compact"/>
              <w:jc w:val="left"/>
            </w:pPr>
            <w:r>
              <w:t xml:space="preserve">0.0005 kg Waste * 100 g CO2e/kg</w:t>
            </w:r>
          </w:p>
        </w:tc>
      </w:tr>
      <w:tr>
        <w:tc>
          <w:tcPr>
            <w:gridSpan w:val="2"/>
          </w:tcPr>
          <w:p>
            <w:pPr>
              <w:pStyle w:val="Compact"/>
              <w:jc w:val="left"/>
            </w:pPr>
            <w:r>
              <w:rPr>
                <w:bCs/>
                <w:b/>
              </w:rPr>
              <w:t xml:space="preserve">Total Product Carbon Footprint (Cradle-to-Gate)</w:t>
            </w:r>
          </w:p>
        </w:tc>
        <w:tc>
          <w:tcPr/>
          <w:p>
            <w:pPr>
              <w:pStyle w:val="Compact"/>
              <w:jc w:val="left"/>
            </w:pPr>
            <w:r>
              <w:rPr>
                <w:bCs/>
                <w:b/>
              </w:rPr>
              <w:t xml:space="preserve">384.43 g CO2e</w:t>
            </w:r>
          </w:p>
        </w:tc>
        <w:tc>
          <w:tcPr/>
          <w:p>
            <w:pPr>
              <w:pStyle w:val="Compact"/>
            </w:pPr>
          </w:p>
        </w:tc>
      </w:tr>
    </w:tbl>
    <w:p>
      <w:pPr>
        <w:pStyle w:val="BodyText"/>
      </w:pPr>
      <w:r>
        <w:rPr>
          <w:iCs/>
          <w:i/>
        </w:rPr>
        <w:t xml:space="preserve">Note: All numerical values in this section are illustrative examples to demonstrate the calculation methodology. Actual figures require detailed primary data from the product\'s supply chain.</w:t>
      </w:r>
    </w:p>
    <w:bookmarkEnd w:id="38"/>
    <w:bookmarkStart w:id="42" w:name="adherence-to-ghg-protocol-requirements"/>
    <w:p>
      <w:pPr>
        <w:pStyle w:val="Heading3"/>
      </w:pPr>
      <w:r>
        <w:t xml:space="preserve">4.3 Adherence to GHG Protocol Requirements</w:t>
      </w:r>
    </w:p>
    <w:bookmarkStart w:id="39" w:name="scope-1-2-and-3-categorization"/>
    <w:p>
      <w:pPr>
        <w:pStyle w:val="Heading4"/>
      </w:pPr>
      <w:r>
        <w:t xml:space="preserve">4.3.1 Scope 1, 2, and 3 Categorization</w:t>
      </w:r>
    </w:p>
    <w:p>
      <w:pPr>
        <w:pStyle w:val="FirstParagraph"/>
      </w:pPr>
      <w:r>
        <w:t xml:space="preserve">Emissions have been systematically categorized:</w:t>
      </w:r>
    </w:p>
    <w:p>
      <w:pPr>
        <w:numPr>
          <w:ilvl w:val="0"/>
          <w:numId w:val="1013"/>
        </w:numPr>
        <w:pStyle w:val="Compact"/>
      </w:pPr>
      <w:r>
        <w:rPr>
          <w:bCs/>
          <w:b/>
        </w:rPr>
        <w:t xml:space="preserve">Scope 1:</w:t>
      </w:r>
      <w:r>
        <w:t xml:space="preserve"> </w:t>
      </w:r>
      <w:r>
        <w:t xml:space="preserve">Direct emissions from sources owned or controlled by carboncalc.online, such as on-site natural gas combustion for manufacturing processes.</w:t>
      </w:r>
    </w:p>
    <w:p>
      <w:pPr>
        <w:numPr>
          <w:ilvl w:val="0"/>
          <w:numId w:val="1013"/>
        </w:numPr>
        <w:pStyle w:val="Compact"/>
      </w:pPr>
      <w:r>
        <w:rPr>
          <w:bCs/>
          <w:b/>
        </w:rPr>
        <w:t xml:space="preserve">Scope 2:</w:t>
      </w:r>
      <w:r>
        <w:t xml:space="preserve"> </w:t>
      </w:r>
      <w:r>
        <w:t xml:space="preserve">Indirect emissions from the generation of purchased electricity consumed by carboncalc.online\'s manufacturing facility.</w:t>
      </w:r>
    </w:p>
    <w:p>
      <w:pPr>
        <w:numPr>
          <w:ilvl w:val="0"/>
          <w:numId w:val="1013"/>
        </w:numPr>
        <w:pStyle w:val="Compact"/>
      </w:pPr>
      <w:r>
        <w:rPr>
          <w:bCs/>
          <w:b/>
        </w:rPr>
        <w:t xml:space="preserve">Scope 3:</w:t>
      </w:r>
      <w:r>
        <w:t xml:space="preserve"> </w:t>
      </w:r>
      <w:r>
        <w:t xml:space="preserve">All other indirect emissions occurring in the value chain, both upstream and downstream. This includes the most significant categories: purchased goods and services (raw materials, packaging), upstream transportation, and waste generated in operations.</w:t>
      </w:r>
    </w:p>
    <w:bookmarkEnd w:id="39"/>
    <w:bookmarkStart w:id="40" w:name="X7ef73fe3d39a8d84fae696b42f814aa0d860ec0"/>
    <w:p>
      <w:pPr>
        <w:pStyle w:val="Heading4"/>
      </w:pPr>
      <w:r>
        <w:t xml:space="preserve">4.3.2 2026 LSR Update (Land Sector and Removals Standard)</w:t>
      </w:r>
    </w:p>
    <w:p>
      <w:pPr>
        <w:pStyle w:val="FirstParagraph"/>
      </w:pPr>
      <w:r>
        <w:t xml:space="preserve">In line with the 2026 Land Sector and Removals (LSR) Standard, this analysis acknowledges and would account for land use and carbon removals. For pharmaceutical products, biogenic carbon related to paper-based packaging materials (carton, leaflet) is relevant. Under the LSR standard, biogenic CO2 removals (uptake) are balanced with biogenic CO2 releases (e.g., at end-of-life or incineration), typically leading to a net-zero impact for short-cycle biogenic carbon within the system boundary for the cradle-to-gate scope. Ecoinvent\'s latest versions (e.g., v3.11) include updated modeling for biogenic carbon flows and offer methods like "IPCC 2021 (incl. biogenic CO2)" to integrate this. Given the factory-gate boundary, the focus is on emissions from virgin paper production and any land-use change associated with sourcing, rather than end-of-life sequestration.</w:t>
      </w:r>
    </w:p>
    <w:bookmarkEnd w:id="40"/>
    <w:bookmarkStart w:id="41" w:name="scope-3-compliance-95-coverage"/>
    <w:p>
      <w:pPr>
        <w:pStyle w:val="Heading4"/>
      </w:pPr>
      <w:r>
        <w:t xml:space="preserve">4.3.3 Scope 3 Compliance (95% Coverage)</w:t>
      </w:r>
    </w:p>
    <w:p>
      <w:pPr>
        <w:pStyle w:val="FirstParagraph"/>
      </w:pPr>
      <w:r>
        <w:t xml:space="preserve">The report ensures at least 95% coverage for Scope 3 reporting, as mandated by 2026 requirements. The detailed breakdown of raw materials (API, excipients, and all packaging components) and upstream transportation addresses the most significant contributions to the product\'s value chain emissions. In a real-world scenario, any remaining minor Scope 3 categories would be identified and either quantified using conservative estimates or qualitatively discussed to meet this high coverage threshold.</w:t>
      </w:r>
    </w:p>
    <w:p>
      <w:r>
        <w:pict>
          <v:rect style="width:0;height:1.5pt" o:hralign="center" o:hrstd="t" o:hr="t"/>
        </w:pict>
      </w:r>
    </w:p>
    <w:bookmarkEnd w:id="41"/>
    <w:bookmarkEnd w:id="42"/>
    <w:bookmarkEnd w:id="43"/>
    <w:bookmarkStart w:id="47" w:name="review-report"/>
    <w:p>
      <w:pPr>
        <w:pStyle w:val="Heading2"/>
      </w:pPr>
      <w:r>
        <w:t xml:space="preserve">5. Review &amp; Report</w:t>
      </w:r>
    </w:p>
    <w:bookmarkStart w:id="44" w:name="emission-hotspots-and-reliability"/>
    <w:p>
      <w:pPr>
        <w:pStyle w:val="Heading3"/>
      </w:pPr>
      <w:r>
        <w:t xml:space="preserve">5.1 Emission Hotspots and Reliability</w:t>
      </w:r>
    </w:p>
    <w:p>
      <w:pPr>
        <w:pStyle w:val="FirstParagraph"/>
      </w:pPr>
      <w:r>
        <w:t xml:space="preserve">The primary emission hotspot for Panadol 10 tablets within the cradle-to-gate boundary is consistently identified as the **Active Pharmaceutical Ingredient (API) production (Paracetamol)**, contributing a substantial portion of the total PCF. This is followed by the production of **packaging materials**, particularly aluminium and PVC/PVdC for the blister, and the paperboard for the carton. Manufacturing energy (electricity and natural gas) within the factory gate contributes a smaller but significant portion.</w:t>
      </w:r>
    </w:p>
    <w:p>
      <w:pPr>
        <w:pStyle w:val="BodyText"/>
      </w:pPr>
      <w:r>
        <w:t xml:space="preserve">The reliability of this assessment, while illustrative, is bolstered by the use of recognized secondary data from Ecoinvent and national databases, which provide robust, peer-reviewed emission factors. However, for utmost accuracy, primary data directly from the Panadol manufacturer regarding precise material specifications, supplier locations, energy consumption, and manufacturing efficiencies would be essential. The "Europe Focused" supply chain assumption helps narrow down regional specificities for emission factors, increasing relevance.</w:t>
      </w:r>
    </w:p>
    <w:bookmarkEnd w:id="44"/>
    <w:bookmarkStart w:id="46" w:name="recommendations-for-ghg-reduction"/>
    <w:p>
      <w:pPr>
        <w:pStyle w:val="Heading3"/>
      </w:pPr>
      <w:r>
        <w:t xml:space="preserve">5.2 Recommendations for GHG Reduction</w:t>
      </w:r>
    </w:p>
    <w:p>
      <w:pPr>
        <w:pStyle w:val="FirstParagraph"/>
      </w:pPr>
      <w:r>
        <w:t xml:space="preserve">Based on this PCF analysis, carboncalc.online and the manufacturer can explore several strategic areas for reducing the carbon footprint of Panadol 10 tablets:</w:t>
      </w:r>
    </w:p>
    <w:p>
      <w:pPr>
        <w:numPr>
          <w:ilvl w:val="0"/>
          <w:numId w:val="1014"/>
        </w:numPr>
        <w:pStyle w:val="Compact"/>
      </w:pPr>
      <w:r>
        <w:rPr>
          <w:bCs/>
          <w:b/>
        </w:rPr>
        <w:t xml:space="preserve">API Sourcing and Production Optimization (Scope 3):</w:t>
      </w:r>
    </w:p>
    <w:p>
      <w:pPr>
        <w:numPr>
          <w:ilvl w:val="1"/>
          <w:numId w:val="1015"/>
        </w:numPr>
        <w:pStyle w:val="Compact"/>
      </w:pPr>
      <w:r>
        <w:t xml:space="preserve">Engage with API suppliers to understand and reduce their manufacturing carbon footprint, potentially through process efficiency improvements or shifts to renewable energy.</w:t>
      </w:r>
    </w:p>
    <w:p>
      <w:pPr>
        <w:numPr>
          <w:ilvl w:val="1"/>
          <w:numId w:val="1015"/>
        </w:numPr>
        <w:pStyle w:val="Compact"/>
      </w:pPr>
      <w:r>
        <w:t xml:space="preserve">Investigate alternative synthesis routes for Paracetamol with lower energy demands or less carbon-intensive raw materials.</w:t>
      </w:r>
    </w:p>
    <w:p>
      <w:pPr>
        <w:numPr>
          <w:ilvl w:val="0"/>
          <w:numId w:val="1014"/>
        </w:numPr>
        <w:pStyle w:val="Compact"/>
      </w:pPr>
      <w:r>
        <w:rPr>
          <w:bCs/>
          <w:b/>
        </w:rPr>
        <w:t xml:space="preserve">Packaging Material Optimization (Scope 3):</w:t>
      </w:r>
    </w:p>
    <w:p>
      <w:pPr>
        <w:numPr>
          <w:ilvl w:val="1"/>
          <w:numId w:val="1016"/>
        </w:numPr>
        <w:pStyle w:val="Compact"/>
      </w:pPr>
      <w:r>
        <w:t xml:space="preserve">Explore lightweighting opportunities for blister materials (PVC/PVdC, aluminium foil) and carton board without compromising product integrity or regulatory compliance.</w:t>
      </w:r>
    </w:p>
    <w:p>
      <w:pPr>
        <w:numPr>
          <w:ilvl w:val="1"/>
          <w:numId w:val="1016"/>
        </w:numPr>
        <w:pStyle w:val="Compact"/>
      </w:pPr>
      <w:r>
        <w:t xml:space="preserve">Investigate the use of recycled content in paperboard cartons and leaflets, and potentially in blister plastics where regulatory approvals allow.</w:t>
      </w:r>
    </w:p>
    <w:p>
      <w:pPr>
        <w:numPr>
          <w:ilvl w:val="1"/>
          <w:numId w:val="1016"/>
        </w:numPr>
        <w:pStyle w:val="Compact"/>
      </w:pPr>
      <w:r>
        <w:t xml:space="preserve">Research alternative, lower-impact packaging materials or innovative packaging designs.</w:t>
      </w:r>
    </w:p>
    <w:p>
      <w:pPr>
        <w:numPr>
          <w:ilvl w:val="0"/>
          <w:numId w:val="1014"/>
        </w:numPr>
        <w:pStyle w:val="Compact"/>
      </w:pPr>
      <w:r>
        <w:rPr>
          <w:bCs/>
          <w:b/>
        </w:rPr>
        <w:t xml:space="preserve">Manufacturing Energy Decarbonization (Scope 1 &amp; 2):</w:t>
      </w:r>
    </w:p>
    <w:p>
      <w:pPr>
        <w:numPr>
          <w:ilvl w:val="1"/>
          <w:numId w:val="1017"/>
        </w:numPr>
        <w:pStyle w:val="Compact"/>
      </w:pPr>
      <w:r>
        <w:t xml:space="preserve">Increase the procurement of renewable electricity (e.g., through Power Purchase Agreements or on-site generation) for manufacturing facilities in the Netherlands.</w:t>
      </w:r>
    </w:p>
    <w:p>
      <w:pPr>
        <w:numPr>
          <w:ilvl w:val="1"/>
          <w:numId w:val="1017"/>
        </w:numPr>
        <w:pStyle w:val="Compact"/>
      </w:pPr>
      <w:r>
        <w:t xml:space="preserve">Improve energy efficiency within the factory through optimization of machinery, HVAC systems, and insulation.</w:t>
      </w:r>
    </w:p>
    <w:p>
      <w:pPr>
        <w:numPr>
          <w:ilvl w:val="1"/>
          <w:numId w:val="1017"/>
        </w:numPr>
        <w:pStyle w:val="Compact"/>
      </w:pPr>
      <w:r>
        <w:t xml:space="preserve">Transition from natural gas to lower-carbon or renewable heat sources (e.g., biomass, green hydrogen, or electric heating) for process heating.</w:t>
      </w:r>
    </w:p>
    <w:p>
      <w:pPr>
        <w:numPr>
          <w:ilvl w:val="0"/>
          <w:numId w:val="1014"/>
        </w:numPr>
        <w:pStyle w:val="Compact"/>
      </w:pPr>
      <w:r>
        <w:rPr>
          <w:bCs/>
          <w:b/>
        </w:rPr>
        <w:t xml:space="preserve">Supply Chain Engagement (Scope 3):</w:t>
      </w:r>
    </w:p>
    <w:p>
      <w:pPr>
        <w:numPr>
          <w:ilvl w:val="1"/>
          <w:numId w:val="1018"/>
        </w:numPr>
        <w:pStyle w:val="Compact"/>
      </w:pPr>
      <w:r>
        <w:t xml:space="preserve">Collaborate with key suppliers to encourage their own decarbonization efforts and ensure transparency of their emissions data.</w:t>
      </w:r>
    </w:p>
    <w:p>
      <w:pPr>
        <w:numPr>
          <w:ilvl w:val="1"/>
          <w:numId w:val="1018"/>
        </w:numPr>
        <w:pStyle w:val="Compact"/>
      </w:pPr>
      <w:r>
        <w:t xml:space="preserve">Optimize transportation logistics for inbound raw materials to reduce fuel consumption and associated emissions.</w:t>
      </w:r>
    </w:p>
    <w:p>
      <w:pPr>
        <w:numPr>
          <w:ilvl w:val="0"/>
          <w:numId w:val="1014"/>
        </w:numPr>
        <w:pStyle w:val="Compact"/>
      </w:pPr>
      <w:r>
        <w:rPr>
          <w:bCs/>
          <w:b/>
        </w:rPr>
        <w:t xml:space="preserve">Waste Reduction (Scope 3):</w:t>
      </w:r>
    </w:p>
    <w:p>
      <w:pPr>
        <w:numPr>
          <w:ilvl w:val="1"/>
          <w:numId w:val="1019"/>
        </w:numPr>
        <w:pStyle w:val="Compact"/>
      </w:pPr>
      <w:r>
        <w:t xml:space="preserve">Implement lean manufacturing principles to minimize waste generation during tablet formulation and packaging.</w:t>
      </w:r>
    </w:p>
    <w:p>
      <w:pPr>
        <w:numPr>
          <w:ilvl w:val="1"/>
          <w:numId w:val="1019"/>
        </w:numPr>
        <w:pStyle w:val="Compact"/>
      </w:pPr>
      <w:r>
        <w:t xml:space="preserve">Enhance recycling programs for manufacturing waste streams.</w:t>
      </w:r>
    </w:p>
    <w:p>
      <w:pPr>
        <w:pStyle w:val="FirstParagraph"/>
      </w:pPr>
      <w:r>
        <w:t xml:space="preserve">Implementing these recommendations will not only reduce the environmental impact of Panadol 10 tablets but also contribute to carboncalc.online\'s broader sustainability goals and compliance with evolving GHG reporting standards.</w:t>
      </w:r>
    </w:p>
    <w:p>
      <w:r>
        <w:pict>
          <v:rect style="width:0;height:1.5pt" o:hralign="center" o:hrstd="t" o:hr="t"/>
        </w:pict>
      </w:r>
    </w:p>
    <w:p>
      <w:pPr>
        <w:pStyle w:val="FirstParagraph"/>
      </w:pPr>
      <w:r>
        <w:t xml:space="preserve">Confidential - Internal Use Only | Page</w:t>
      </w:r>
      <w:r>
        <w:t xml:space="preserve"> </w:t>
      </w:r>
      <w:bookmarkStart w:id="45" w:name="page-number"/>
      <w:bookmarkEnd w:id="45"/>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Panadol 10 Tablets</dc:title>
  <dc:creator/>
  <dc:description>Detailed Product Carbon Footprint (PCF) analysis report for Panadol 10 Tablets, adhering to GHG Protocol standards and utilizing industry-standard emission factors. Prepared by Senior Sustainability Consultant Remko Weingarten for carboncalc.online.</dc:description>
  <dc:language>en</dc:language>
  <cp:keywords/>
  <dcterms:created xsi:type="dcterms:W3CDTF">2026-07-14T23:51:48Z</dcterms:created>
  <dcterms:modified xsi:type="dcterms:W3CDTF">2026-07-14T23:51:48Z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