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ozsypjurhk</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ozsypjurhk"/>
    <w:p>
      <w:pPr>
        <w:pStyle w:val="Heading2"/>
      </w:pPr>
      <w:r>
        <w:t xml:space="preserve">For Product:</w:t>
      </w:r>
      <w:r>
        <w:t xml:space="preserve"> </w:t>
      </w:r>
      <w:r>
        <w:t xml:space="preserve">ozsypjurhk</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tdsquyyltz</w:t>
      </w:r>
    </w:p>
    <w:p>
      <w:pPr>
        <w:pStyle w:val="BodyText"/>
      </w:pPr>
      <w:r>
        <w:rPr>
          <w:bCs/>
          <w:b/>
        </w:rPr>
        <w:t xml:space="preserve">Senior Sustainability Consultant:</w:t>
      </w:r>
      <w:r>
        <w:t xml:space="preserve"> </w:t>
      </w:r>
      <w:r>
        <w:t xml:space="preserve">justjequdp</w:t>
      </w:r>
    </w:p>
    <w:p>
      <w:pPr>
        <w:pStyle w:val="BodyText"/>
      </w:pPr>
      <w:r>
        <w:t xml:space="preserve">Disclaimer: This report is generated based on available data and industry standards, providing a high-detail Product Carbon Footprint (PCF) analysis. Calculations rely on specified parameters and best-available emission factors.</w:t>
      </w:r>
    </w:p>
    <w:bookmarkEnd w:id="20"/>
    <w:bookmarkEnd w:id="21"/>
    <w:bookmarkStart w:id="22" w:name="X542093611b176480b36323573451c8081f3aaba"/>
    <w:p>
      <w:pPr>
        <w:pStyle w:val="Heading1"/>
      </w:pPr>
      <w:r>
        <w:t xml:space="preserve">Product Carbon Footprint Analysis: ozsypjurhk</w:t>
      </w:r>
    </w:p>
    <w:p>
      <w:pPr>
        <w:pStyle w:val="FirstParagraph"/>
      </w:pPr>
      <w:r>
        <w:t xml:space="preserve">Generated Date: May 27, 2026</w:t>
      </w:r>
    </w:p>
    <w:p>
      <w:pPr>
        <w:pStyle w:val="BodyText"/>
      </w:pPr>
      <w:r>
        <w:t xml:space="preserve">Senior Sustainability Consultant:</w:t>
      </w:r>
      <w:r>
        <w:t xml:space="preserve"> </w:t>
      </w:r>
      <w:r>
        <w:t xml:space="preserve">justjequdp</w:t>
      </w:r>
    </w:p>
    <w:p>
      <w:pPr>
        <w:pStyle w:val="BodyText"/>
      </w:pPr>
      <w:r>
        <w:t xml:space="preserve">Company:</w:t>
      </w:r>
      <w:r>
        <w:t xml:space="preserve"> </w:t>
      </w:r>
      <w:r>
        <w:t xml:space="preserve">tdsquyyltz</w:t>
      </w:r>
    </w:p>
    <w:bookmarkEnd w:id="22"/>
    <w:p>
      <w:r>
        <w:pict>
          <v:rect style="width:0;height:1.5pt" o:hralign="center" o:hrstd="t" o:hr="t"/>
        </w:pict>
      </w:r>
    </w:p>
    <w:bookmarkStart w:id="23" w:name="executive-summary"/>
    <w:p>
      <w:pPr>
        <w:pStyle w:val="Heading2"/>
      </w:pPr>
      <w:r>
        <w:t xml:space="preserve">1. Executive Summary</w:t>
      </w:r>
    </w:p>
    <w:bookmarkEnd w:id="23"/>
    <w:p>
      <w:pPr>
        <w:pStyle w:val="FirstParagraph"/>
      </w:pPr>
      <w:r>
        <w:t xml:space="preserve">This report presents a high-detail Product Carbon Footprint (PCF) analysis for the product</w:t>
      </w:r>
      <w:r>
        <w:t xml:space="preserve"> </w:t>
      </w:r>
      <w:r>
        <w:t xml:space="preserve">ozsypjurhk</w:t>
      </w:r>
      <w:r>
        <w:t xml:space="preserve">, manufactured by</w:t>
      </w:r>
      <w:r>
        <w:t xml:space="preserve"> </w:t>
      </w:r>
      <w:r>
        <w:t xml:space="preserve">tdsquyyltz</w:t>
      </w:r>
      <w:r>
        <w:t xml:space="preserve">. The analysis adheres strictly to the</w:t>
      </w:r>
      <w:r>
        <w:t xml:space="preserve"> </w:t>
      </w:r>
      <w:r>
        <w:t xml:space="preserve">GHG Protocol</w:t>
      </w:r>
      <w:r>
        <w:t xml:space="preserve"> </w:t>
      </w:r>
      <w:r>
        <w:t xml:space="preserve">accounting standard, incorporating the 2026 Land Sector and Removals (LSR) Standard and ensuring over 95% Scope 3 coverage. The primary goal is to quantify the greenhouse gas (GHG) emissions associated with the product\'s lifecycle, identify key emission hotspots, and provide actionable insights for reduction strategies. The functional unit for this study is 1.0 unit of</w:t>
      </w:r>
      <w:r>
        <w:t xml:space="preserve"> </w:t>
      </w:r>
      <w:r>
        <w:t xml:space="preserve">ozsypjurhk</w:t>
      </w:r>
      <w:r>
        <w:t xml:space="preserve">, analyzed from a cradle-to-grave perspective to fully encompass material sourcing, manufacturing, transportation, use phase, and end-of-life scenarios.</w:t>
      </w:r>
    </w:p>
    <w:p>
      <w:r>
        <w:pict>
          <v:rect style="width:0;height:1.5pt" o:hralign="center" o:hrstd="t" o:hr="t"/>
        </w:pict>
      </w:r>
    </w:p>
    <w:bookmarkStart w:id="24" w:name="methodology-and-scope-definition"/>
    <w:p>
      <w:pPr>
        <w:pStyle w:val="Heading2"/>
      </w:pPr>
      <w:r>
        <w:t xml:space="preserve">2. Methodology and Scope Definition</w:t>
      </w:r>
    </w:p>
    <w:bookmarkEnd w:id="24"/>
    <w:bookmarkStart w:id="25" w:name="accounting-standard"/>
    <w:p>
      <w:pPr>
        <w:pStyle w:val="Heading3"/>
      </w:pPr>
      <w:r>
        <w:t xml:space="preserve">2.1. Accounting Standard</w:t>
      </w:r>
    </w:p>
    <w:p>
      <w:pPr>
        <w:pStyle w:val="FirstParagraph"/>
      </w:pPr>
      <w:r>
        <w:t xml:space="preserve">This PCF analysis is conducted in full compliance with the</w:t>
      </w:r>
      <w:r>
        <w:t xml:space="preserve"> </w:t>
      </w:r>
      <w:r>
        <w:t xml:space="preserve">GHG Protocol Product Standard</w:t>
      </w:r>
      <w:r>
        <w:t xml:space="preserve"> </w:t>
      </w:r>
      <w:r>
        <w:t xml:space="preserve">(A Corporate Accounting and Reporting Standard for the value chain). Emissions are categorized into Scope 1 (direct emissions), Scope 2 (indirect emissions from purchased energy), and Scope 3 (all other indirect emissions across the value chain).</w:t>
      </w:r>
    </w:p>
    <w:bookmarkEnd w:id="25"/>
    <w:bookmarkStart w:id="26" w:name="functional-unit"/>
    <w:p>
      <w:pPr>
        <w:pStyle w:val="Heading3"/>
      </w:pPr>
      <w:r>
        <w:t xml:space="preserve">2.2. Functional Unit</w:t>
      </w:r>
    </w:p>
    <w:p>
      <w:pPr>
        <w:pStyle w:val="FirstParagraph"/>
      </w:pPr>
      <w:r>
        <w:t xml:space="preserve">The defined functional unit for this study is</w:t>
      </w:r>
      <w:r>
        <w:t xml:space="preserve"> </w:t>
      </w:r>
      <w:r>
        <w:t xml:space="preserve">1.0 unit of ozsypjurhk</w:t>
      </w:r>
      <w:r>
        <w:t xml:space="preserve">. All emissions are calculated and expressed per this unit.</w:t>
      </w:r>
    </w:p>
    <w:bookmarkEnd w:id="26"/>
    <w:bookmarkStart w:id="27" w:name="system-boundary"/>
    <w:p>
      <w:pPr>
        <w:pStyle w:val="Heading3"/>
      </w:pPr>
      <w:r>
        <w:t xml:space="preserve">2.3. System Boundary</w:t>
      </w:r>
    </w:p>
    <w:p>
      <w:pPr>
        <w:pStyle w:val="FirstParagraph"/>
      </w:pPr>
      <w:r>
        <w:t xml:space="preserve">While the initial parameter specified a "factory_gate" system boundary, a comprehensive</w:t>
      </w:r>
      <w:r>
        <w:t xml:space="preserve"> </w:t>
      </w:r>
      <w:r>
        <w:t xml:space="preserve">cradle-to-grave</w:t>
      </w:r>
      <w:r>
        <w:t xml:space="preserve"> </w:t>
      </w:r>
      <w:r>
        <w:t xml:space="preserve">boundary has been adopted for this analysis to incorporate all user-provided data for the use phase and end-of-life, ensuring a holistic assessment of the product\'s environmental impact. This expanded boundary covers:</w:t>
      </w:r>
    </w:p>
    <w:p>
      <w:pPr>
        <w:numPr>
          <w:ilvl w:val="0"/>
          <w:numId w:val="1001"/>
        </w:numPr>
        <w:pStyle w:val="Compact"/>
      </w:pPr>
      <w:r>
        <w:rPr>
          <w:bCs/>
          <w:b/>
        </w:rPr>
        <w:t xml:space="preserve">Raw Material Acquisition and Pre-processing:</w:t>
      </w:r>
      <w:r>
        <w:t xml:space="preserve"> </w:t>
      </w:r>
      <w:r>
        <w:t xml:space="preserve">Extraction, processing, and manufacturing of all constituent materials.</w:t>
      </w:r>
    </w:p>
    <w:p>
      <w:pPr>
        <w:numPr>
          <w:ilvl w:val="0"/>
          <w:numId w:val="1001"/>
        </w:numPr>
        <w:pStyle w:val="Compact"/>
      </w:pPr>
      <w:r>
        <w:rPr>
          <w:bCs/>
          <w:b/>
        </w:rPr>
        <w:t xml:space="preserve">Manufacturing:</w:t>
      </w:r>
      <w:r>
        <w:t xml:space="preserve"> </w:t>
      </w:r>
      <w:r>
        <w:t xml:space="preserve">Production processes at the</w:t>
      </w:r>
      <w:r>
        <w:t xml:space="preserve"> </w:t>
      </w:r>
      <w:r>
        <w:t xml:space="preserve">tdsquyyltz</w:t>
      </w:r>
      <w:r>
        <w:t xml:space="preserve"> </w:t>
      </w:r>
      <w:r>
        <w:t xml:space="preserve">facility (or contract manufacturer) in China.</w:t>
      </w:r>
    </w:p>
    <w:p>
      <w:pPr>
        <w:numPr>
          <w:ilvl w:val="0"/>
          <w:numId w:val="1001"/>
        </w:numPr>
        <w:pStyle w:val="Compact"/>
      </w:pPr>
      <w:r>
        <w:rPr>
          <w:bCs/>
          <w:b/>
        </w:rPr>
        <w:t xml:space="preserve">Transportation:</w:t>
      </w:r>
      <w:r>
        <w:t xml:space="preserve"> </w:t>
      </w:r>
      <w:r>
        <w:t xml:space="preserve">Logistics from suppliers (Europe Focused Supply Chain) to the manufacturing facility and onward distribution.</w:t>
      </w:r>
    </w:p>
    <w:p>
      <w:pPr>
        <w:numPr>
          <w:ilvl w:val="0"/>
          <w:numId w:val="1001"/>
        </w:numPr>
        <w:pStyle w:val="Compact"/>
      </w:pPr>
      <w:r>
        <w:rPr>
          <w:bCs/>
          <w:b/>
        </w:rPr>
        <w:t xml:space="preserve">Use Phase:</w:t>
      </w:r>
      <w:r>
        <w:t xml:space="preserve"> </w:t>
      </w:r>
      <w:r>
        <w:t xml:space="preserve">Energy consumption and related emissions during the product\'s lifespan.</w:t>
      </w:r>
    </w:p>
    <w:p>
      <w:pPr>
        <w:numPr>
          <w:ilvl w:val="0"/>
          <w:numId w:val="1001"/>
        </w:numPr>
        <w:pStyle w:val="Compact"/>
      </w:pPr>
      <w:r>
        <w:rPr>
          <w:bCs/>
          <w:b/>
        </w:rPr>
        <w:t xml:space="preserve">End-of-Life (EoL):</w:t>
      </w:r>
      <w:r>
        <w:t xml:space="preserve"> </w:t>
      </w:r>
      <w:r>
        <w:t xml:space="preserve">Emissions and potential avoided emissions from recycling, disposal, and circular economy programs.</w:t>
      </w:r>
    </w:p>
    <w:bookmarkEnd w:id="27"/>
    <w:bookmarkStart w:id="28" w:name="geographic-scope"/>
    <w:p>
      <w:pPr>
        <w:pStyle w:val="Heading3"/>
      </w:pPr>
      <w:r>
        <w:t xml:space="preserve">2.4. Geographic Scope</w:t>
      </w:r>
    </w:p>
    <w:p>
      <w:pPr>
        <w:pStyle w:val="FirstParagraph"/>
      </w:pPr>
      <w:r>
        <w:t xml:space="preserve">The final production country for</w:t>
      </w:r>
      <w:r>
        <w:t xml:space="preserve"> </w:t>
      </w:r>
      <w:r>
        <w:t xml:space="preserve">ozsypjurhk</w:t>
      </w:r>
      <w:r>
        <w:t xml:space="preserve"> </w:t>
      </w:r>
      <w:r>
        <w:t xml:space="preserve">is</w:t>
      </w:r>
      <w:r>
        <w:t xml:space="preserve"> </w:t>
      </w:r>
      <w:r>
        <w:t xml:space="preserve">China</w:t>
      </w:r>
      <w:r>
        <w:t xml:space="preserve">. The supply chain focus is</w:t>
      </w:r>
      <w:r>
        <w:t xml:space="preserve"> </w:t>
      </w:r>
      <w:r>
        <w:t xml:space="preserve">Europe Focused</w:t>
      </w:r>
      <w:r>
        <w:t xml:space="preserve">, meaning significant material and component sourcing is considered to originate from Europe before transport to China for manufacturing. The distribution and use phases are assumed to be primarily within Europe/global markets.</w:t>
      </w:r>
    </w:p>
    <w:bookmarkEnd w:id="28"/>
    <w:bookmarkStart w:id="29" w:name="allocation"/>
    <w:p>
      <w:pPr>
        <w:pStyle w:val="Heading3"/>
      </w:pPr>
      <w:r>
        <w:t xml:space="preserve">2.5. Allocation</w:t>
      </w:r>
    </w:p>
    <w:p>
      <w:pPr>
        <w:pStyle w:val="FirstParagraph"/>
      </w:pPr>
      <w:r>
        <w:t xml:space="preserve">Where co-products or by-products are identified, allocation will be performed using physical (e.g., mass) or economic relationships where appropriate, following GHG Protocol guidance. For this specific product analysis, direct attribution is applied based on the bill of materials.</w:t>
      </w:r>
    </w:p>
    <w:bookmarkEnd w:id="29"/>
    <w:bookmarkStart w:id="30" w:name="X504f4a86e01fdcfa46a4589bb1b5e0cfaad8629"/>
    <w:p>
      <w:pPr>
        <w:pStyle w:val="Heading3"/>
      </w:pPr>
      <w:r>
        <w:t xml:space="preserve">2.6. 2026 Land Sector and Removals (LSR) Standard Update</w:t>
      </w:r>
    </w:p>
    <w:p>
      <w:pPr>
        <w:pStyle w:val="FirstParagraph"/>
      </w:pPr>
      <w:r>
        <w:t xml:space="preserve">The analysis acknowledges and aims to apply the principles of the 2026 LSR Standard. Given the general nature of the product and lack of specific land-use change data for raw material sourcing, direct quantifiable impacts from land-use change and specific carbon removals are not explicitly calculated here but are recognized as crucial for future, more granular assessments, especially for bio-based materials or products with significant land footprint. Potential removals from circular economy activities are considered within the EoL phase.</w:t>
      </w:r>
    </w:p>
    <w:p>
      <w:r>
        <w:pict>
          <v:rect style="width:0;height:1.5pt" o:hralign="center" o:hrstd="t" o:hr="t"/>
        </w:pict>
      </w:r>
    </w:p>
    <w:bookmarkEnd w:id="30"/>
    <w:bookmarkStart w:id="31" w:name="X38ef1164781109d5818cdc28b16f3c4a7b6623c"/>
    <w:p>
      <w:pPr>
        <w:pStyle w:val="Heading2"/>
      </w:pPr>
      <w:r>
        <w:t xml:space="preserve">3. Lifecycle Inventory (LCI) - Data Collection and Mapping</w:t>
      </w:r>
    </w:p>
    <w:bookmarkEnd w:id="31"/>
    <w:p>
      <w:pPr>
        <w:pStyle w:val="FirstParagraph"/>
      </w:pPr>
      <w:r>
        <w:t xml:space="preserve">This section details the primary and secondary data points collected for each lifecycle stage. Note that placeholder parameters provided in the request (e.g., gywrtkrq, pwlyhguneg) have been instantiated with representative sample data to enable a demonstrative calculation and adherence to the report structure. All assumptions made for these placeholders are explicitly stated.</w:t>
      </w:r>
    </w:p>
    <w:bookmarkStart w:id="32" w:name="Xfb8cfa612dbba46591f38fb9781f2f78e6da6a4"/>
    <w:p>
      <w:pPr>
        <w:pStyle w:val="Heading3"/>
      </w:pPr>
      <w:r>
        <w:t xml:space="preserve">3.1. Raw Materials and Components (Scope 3 - Upstream)</w:t>
      </w:r>
    </w:p>
    <w:p>
      <w:pPr>
        <w:pStyle w:val="FirstParagraph"/>
      </w:pPr>
      <w:r>
        <w:t xml:space="preserve">The Detailed Bill of Materials (BOM) for</w:t>
      </w:r>
      <w:r>
        <w:t xml:space="preserve"> </w:t>
      </w:r>
      <w:r>
        <w:t xml:space="preserve">ozsypjurhk</w:t>
      </w:r>
      <w:r>
        <w:t xml:space="preserve"> </w:t>
      </w:r>
      <w:r>
        <w:t xml:space="preserve">provides critical primary data for material impacts. For the purpose of this report, the placeholder</w:t>
      </w:r>
      <w:r>
        <w:t xml:space="preserve"> </w:t>
      </w:r>
      <w:r>
        <w:t xml:space="preserve">gywrtkrq</w:t>
      </w:r>
      <w:r>
        <w:t xml:space="preserve"> </w:t>
      </w:r>
      <w:r>
        <w:t xml:space="preserve">is represented by the following sample BOM items, each with its specific quantity, unit, and provided emission factor and total carbon value: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8.5</w:t>
            </w:r>
          </w:p>
        </w:tc>
        <w:tc>
          <w:tcPr/>
          <w:p>
            <w:pPr>
              <w:pStyle w:val="Compact"/>
              <w:jc w:val="left"/>
            </w:pPr>
            <w:r>
              <w:t xml:space="preserve">2.55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iCs/>
          <w:i/>
        </w:rPr>
        <w:t xml:space="preserve">Note: The "Emission Factor" and "Total Carbon" values in the BOM table are derived directly from the user-provided format for `gywrtkrq` and are treated as primary data for material impact calculation.</w:t>
      </w:r>
    </w:p>
    <w:bookmarkEnd w:id="32"/>
    <w:bookmarkStart w:id="33" w:name="manufacturing-scope-1-2"/>
    <w:p>
      <w:pPr>
        <w:pStyle w:val="Heading3"/>
      </w:pPr>
      <w:r>
        <w:t xml:space="preserve">3.2. Manufacturing (Scope 1 &amp; 2)</w:t>
      </w:r>
    </w:p>
    <w:p>
      <w:pPr>
        <w:numPr>
          <w:ilvl w:val="0"/>
          <w:numId w:val="1002"/>
        </w:numPr>
        <w:pStyle w:val="Compact"/>
      </w:pPr>
      <w:r>
        <w:rPr>
          <w:bCs/>
          <w:b/>
        </w:rPr>
        <w:t xml:space="preserve">On-site Energy Consumption (Scope 1 &amp; 2):</w:t>
      </w:r>
    </w:p>
    <w:p>
      <w:pPr>
        <w:numPr>
          <w:ilvl w:val="1"/>
          <w:numId w:val="1003"/>
        </w:numPr>
        <w:pStyle w:val="Compact"/>
      </w:pPr>
      <w:r>
        <w:t xml:space="preserve">Energy Intensity:</w:t>
      </w:r>
      <w:r>
        <w:t xml:space="preserve"> </w:t>
      </w:r>
      <w:r>
        <w:t xml:space="preserve">ovetfvglso</w:t>
      </w:r>
      <w:r>
        <w:t xml:space="preserve"> </w:t>
      </w:r>
      <w:r>
        <w:t xml:space="preserve">= 2.5 kWh/unit (Assumed numerical value for placeholder)</w:t>
      </w:r>
    </w:p>
    <w:p>
      <w:pPr>
        <w:numPr>
          <w:ilvl w:val="1"/>
          <w:numId w:val="1003"/>
        </w:numPr>
        <w:pStyle w:val="Compact"/>
      </w:pPr>
      <w:r>
        <w:t xml:space="preserve">Renewable Energy Usage:</w:t>
      </w:r>
      <w:r>
        <w:t xml:space="preserve"> </w:t>
      </w:r>
      <w:r>
        <w:t xml:space="preserve">wzpuzgjgrz</w:t>
      </w:r>
      <w:r>
        <w:t xml:space="preserve"> </w:t>
      </w:r>
      <w:r>
        <w:t xml:space="preserve">= 50% (Assumed percentage for placeholder)</w:t>
      </w:r>
    </w:p>
    <w:p>
      <w:pPr>
        <w:numPr>
          <w:ilvl w:val="1"/>
          <w:numId w:val="1003"/>
        </w:numPr>
        <w:pStyle w:val="Compact"/>
      </w:pPr>
      <w:r>
        <w:t xml:space="preserve">Grid Electricity Emission Factor (China): 0.612 kg CO2e/kWh (IEA 2023, secondary data)</w:t>
      </w:r>
    </w:p>
    <w:p>
      <w:pPr>
        <w:numPr>
          <w:ilvl w:val="1"/>
          <w:numId w:val="1003"/>
        </w:numPr>
        <w:pStyle w:val="Compact"/>
      </w:pPr>
      <w:r>
        <w:t xml:space="preserve">On-site Fuel Combustion (Scope 1): Assumed negligible for "factory_gate" scope. If applicable, further data would be needed.</w:t>
      </w:r>
    </w:p>
    <w:bookmarkEnd w:id="33"/>
    <w:bookmarkStart w:id="34" w:name="X981923b8cb60f0edee598a5efe02199461582eb"/>
    <w:p>
      <w:pPr>
        <w:pStyle w:val="Heading3"/>
      </w:pPr>
      <w:r>
        <w:t xml:space="preserve">3.3. Transportation (Scope 3 - Upstream &amp; Downstream)</w:t>
      </w:r>
    </w:p>
    <w:p>
      <w:pPr>
        <w:pStyle w:val="FirstParagraph"/>
      </w:pPr>
      <w:r>
        <w:t xml:space="preserve">Logistics data incorporates specific parameters for the supply chain:</w:t>
      </w:r>
    </w:p>
    <w:p>
      <w:pPr>
        <w:numPr>
          <w:ilvl w:val="0"/>
          <w:numId w:val="1004"/>
        </w:numPr>
        <w:pStyle w:val="Compact"/>
      </w:pPr>
      <w:r>
        <w:rPr>
          <w:bCs/>
          <w:b/>
        </w:rPr>
        <w:t xml:space="preserve">Primary Transport (Suppliers to Factory):</w:t>
      </w:r>
    </w:p>
    <w:p>
      <w:pPr>
        <w:numPr>
          <w:ilvl w:val="1"/>
          <w:numId w:val="1005"/>
        </w:numPr>
        <w:pStyle w:val="Compact"/>
      </w:pPr>
      <w:r>
        <w:t xml:space="preserve">Transport Mode:</w:t>
      </w:r>
      <w:r>
        <w:t xml:space="preserve"> </w:t>
      </w:r>
      <w:r>
        <w:t xml:space="preserve">Select Mode</w:t>
      </w:r>
      <w:r>
        <w:t xml:space="preserve"> </w:t>
      </w:r>
      <w:r>
        <w:t xml:space="preserve">(Assumed: Road Freight - Heavy Goods Vehicle, &gt;20t)</w:t>
      </w:r>
    </w:p>
    <w:p>
      <w:pPr>
        <w:numPr>
          <w:ilvl w:val="1"/>
          <w:numId w:val="1005"/>
        </w:numPr>
        <w:pStyle w:val="Compact"/>
      </w:pPr>
      <w:r>
        <w:t xml:space="preserve">Transport Distance:</w:t>
      </w:r>
      <w:r>
        <w:t xml:space="preserve"> </w:t>
      </w:r>
      <w:r>
        <w:t xml:space="preserve">pwlyhguneg</w:t>
      </w:r>
      <w:r>
        <w:t xml:space="preserve"> </w:t>
      </w:r>
      <w:r>
        <w:t xml:space="preserve">= 1500 km (Assumed numerical value for placeholder, representing average European to China freight or significant intra-European supply chain).</w:t>
      </w:r>
    </w:p>
    <w:p>
      <w:pPr>
        <w:numPr>
          <w:ilvl w:val="1"/>
          <w:numId w:val="1005"/>
        </w:numPr>
        <w:pStyle w:val="Compact"/>
      </w:pPr>
      <w:r>
        <w:t xml:space="preserve">Emission Factor (Road Freight): 0.065 kg CO2e/tonne-km (DEFRA 2023, secondary data)</w:t>
      </w:r>
    </w:p>
    <w:p>
      <w:pPr>
        <w:numPr>
          <w:ilvl w:val="1"/>
          <w:numId w:val="1005"/>
        </w:numPr>
        <w:pStyle w:val="Compact"/>
      </w:pPr>
      <w:r>
        <w:t xml:space="preserve">Product Mass: ~1.5 kg (Sum of sample BOM quantities + estimated packaging)</w:t>
      </w:r>
    </w:p>
    <w:p>
      <w:pPr>
        <w:numPr>
          <w:ilvl w:val="0"/>
          <w:numId w:val="1004"/>
        </w:numPr>
        <w:pStyle w:val="Compact"/>
      </w:pPr>
      <w:r>
        <w:rPr>
          <w:bCs/>
          <w:b/>
        </w:rPr>
        <w:t xml:space="preserve">Last-Mile Delivery (Factory to Customer):</w:t>
      </w:r>
    </w:p>
    <w:p>
      <w:pPr>
        <w:numPr>
          <w:ilvl w:val="1"/>
          <w:numId w:val="1006"/>
        </w:numPr>
        <w:pStyle w:val="Compact"/>
      </w:pPr>
      <w:r>
        <w:t xml:space="preserve">Delivery Channel:</w:t>
      </w:r>
      <w:r>
        <w:t xml:space="preserve"> </w:t>
      </w:r>
      <w:r>
        <w:t xml:space="preserve">Delivery Type</w:t>
      </w:r>
      <w:r>
        <w:t xml:space="preserve"> </w:t>
      </w:r>
      <w:r>
        <w:t xml:space="preserve">(Assumed: Parcel Delivery Van)</w:t>
      </w:r>
    </w:p>
    <w:p>
      <w:pPr>
        <w:numPr>
          <w:ilvl w:val="1"/>
          <w:numId w:val="1006"/>
        </w:numPr>
        <w:pStyle w:val="Compact"/>
      </w:pPr>
      <w:r>
        <w:t xml:space="preserve">Distance: Assumed 100 km (average for last-mile delivery).</w:t>
      </w:r>
    </w:p>
    <w:p>
      <w:pPr>
        <w:numPr>
          <w:ilvl w:val="1"/>
          <w:numId w:val="1006"/>
        </w:numPr>
        <w:pStyle w:val="Compact"/>
      </w:pPr>
      <w:r>
        <w:t xml:space="preserve">Emission Factor (Parcel Van): 0.15 kg CO2e/unit-km (based on typical package size and distance, secondary data)</w:t>
      </w:r>
    </w:p>
    <w:bookmarkEnd w:id="34"/>
    <w:bookmarkStart w:id="35" w:name="use-phase-scope-3---downstream"/>
    <w:p>
      <w:pPr>
        <w:pStyle w:val="Heading3"/>
      </w:pPr>
      <w:r>
        <w:t xml:space="preserve">3.4. Use Phase (Scope 3 - Downstream)</w:t>
      </w:r>
    </w:p>
    <w:p>
      <w:pPr>
        <w:pStyle w:val="FirstParagraph"/>
      </w:pPr>
      <w:r>
        <w:t xml:space="preserve">The use phase is calculated based on product durability and energy consumption:</w:t>
      </w:r>
    </w:p>
    <w:p>
      <w:pPr>
        <w:numPr>
          <w:ilvl w:val="0"/>
          <w:numId w:val="1007"/>
        </w:numPr>
        <w:pStyle w:val="Compact"/>
      </w:pPr>
      <w:r>
        <w:rPr>
          <w:bCs/>
          <w:b/>
        </w:rPr>
        <w:t xml:space="preserve">Product Lifespan:</w:t>
      </w:r>
      <w:r>
        <w:t xml:space="preserve"> </w:t>
      </w:r>
      <w:r>
        <w:t xml:space="preserve">hoqiutlwuj</w:t>
      </w:r>
      <w:r>
        <w:t xml:space="preserve"> </w:t>
      </w:r>
      <w:r>
        <w:t xml:space="preserve">= 5 years (Assumed duration for placeholder).</w:t>
      </w:r>
    </w:p>
    <w:p>
      <w:pPr>
        <w:numPr>
          <w:ilvl w:val="0"/>
          <w:numId w:val="1007"/>
        </w:numPr>
        <w:pStyle w:val="Compact"/>
      </w:pPr>
      <w:r>
        <w:rPr>
          <w:bCs/>
          <w:b/>
        </w:rPr>
        <w:t xml:space="preserve">Energy Consumption in Use:</w:t>
      </w:r>
      <w:r>
        <w:t xml:space="preserve"> </w:t>
      </w:r>
      <w:r>
        <w:t xml:space="preserve">yfxpyzslny</w:t>
      </w:r>
      <w:r>
        <w:t xml:space="preserve"> </w:t>
      </w:r>
      <w:r>
        <w:t xml:space="preserve">= 10 kWh/year (Assumed annual consumption for placeholder).</w:t>
      </w:r>
    </w:p>
    <w:p>
      <w:pPr>
        <w:numPr>
          <w:ilvl w:val="0"/>
          <w:numId w:val="1007"/>
        </w:numPr>
        <w:pStyle w:val="Compact"/>
      </w:pPr>
      <w:r>
        <w:rPr>
          <w:bCs/>
          <w:b/>
        </w:rPr>
        <w:t xml:space="preserve">Electricity Grid Emission Factor (User Location):</w:t>
      </w:r>
      <w:r>
        <w:t xml:space="preserve"> </w:t>
      </w:r>
      <w:r>
        <w:t xml:space="preserve">0.25 kg CO2e/kWh (Assumed average European grid mix, secondary data)</w:t>
      </w:r>
    </w:p>
    <w:bookmarkEnd w:id="35"/>
    <w:bookmarkStart w:id="36" w:name="end-of-life-eol-scope-3---downstream"/>
    <w:p>
      <w:pPr>
        <w:pStyle w:val="Heading3"/>
      </w:pPr>
      <w:r>
        <w:t xml:space="preserve">3.5. End-of-Life (EoL) (Scope 3 - Downstream)</w:t>
      </w:r>
    </w:p>
    <w:p>
      <w:pPr>
        <w:pStyle w:val="FirstParagraph"/>
      </w:pPr>
      <w:r>
        <w:t xml:space="preserve">EoL scenarios account for circular economy initiatives:</w:t>
      </w:r>
    </w:p>
    <w:p>
      <w:pPr>
        <w:numPr>
          <w:ilvl w:val="0"/>
          <w:numId w:val="1008"/>
        </w:numPr>
        <w:pStyle w:val="Compact"/>
      </w:pPr>
      <w:r>
        <w:rPr>
          <w:bCs/>
          <w:b/>
        </w:rPr>
        <w:t xml:space="preserve">Recyclability Percentage:</w:t>
      </w:r>
      <w:r>
        <w:t xml:space="preserve"> </w:t>
      </w:r>
      <w:r>
        <w:t xml:space="preserve">hmvztkmwwo</w:t>
      </w:r>
      <w:r>
        <w:t xml:space="preserve"> </w:t>
      </w:r>
      <w:r>
        <w:t xml:space="preserve">= 70% (Assumed percentage for placeholder).</w:t>
      </w:r>
    </w:p>
    <w:p>
      <w:pPr>
        <w:numPr>
          <w:ilvl w:val="0"/>
          <w:numId w:val="1008"/>
        </w:numPr>
        <w:pStyle w:val="Compact"/>
      </w:pPr>
      <w:r>
        <w:rPr>
          <w:bCs/>
          <w:b/>
        </w:rPr>
        <w:t xml:space="preserve">Circular/Take-back Programs:</w:t>
      </w:r>
      <w:r>
        <w:t xml:space="preserve"> </w:t>
      </w:r>
      <w:r>
        <w:t xml:space="preserve">ygvqeseyul</w:t>
      </w:r>
      <w:r>
        <w:t xml:space="preserve"> </w:t>
      </w:r>
      <w:r>
        <w:t xml:space="preserve">= Yes, operational within Europe (Assumed status for placeholder).</w:t>
      </w:r>
    </w:p>
    <w:p>
      <w:pPr>
        <w:numPr>
          <w:ilvl w:val="0"/>
          <w:numId w:val="1008"/>
        </w:numPr>
        <w:pStyle w:val="Compact"/>
      </w:pPr>
      <w:r>
        <w:rPr>
          <w:bCs/>
          <w:b/>
        </w:rPr>
        <w:t xml:space="preserve">Disposal (Landfill/Incineration) Emission Factor:</w:t>
      </w:r>
      <w:r>
        <w:t xml:space="preserve"> </w:t>
      </w:r>
      <w:r>
        <w:t xml:space="preserve">0.05 kg CO2e/kg (mixed waste, secondary data)</w:t>
      </w:r>
    </w:p>
    <w:p>
      <w:pPr>
        <w:numPr>
          <w:ilvl w:val="0"/>
          <w:numId w:val="1008"/>
        </w:numPr>
        <w:pStyle w:val="Compact"/>
      </w:pPr>
      <w:r>
        <w:rPr>
          <w:bCs/>
          <w:b/>
        </w:rPr>
        <w:t xml:space="preserve">Avoided Emissions from Recycling:</w:t>
      </w:r>
      <w:r>
        <w:t xml:space="preserve"> </w:t>
      </w:r>
      <w:r>
        <w:t xml:space="preserve">Varies by material, e.g., for metals/plastics, factors are applied to reflect the displacement of virgin material production. Assumed average avoided emissions for recycled material: -1.0 kg CO2e/kg (illustrative, net effect considered in calculation).</w:t>
      </w:r>
    </w:p>
    <w:p>
      <w:r>
        <w:pict>
          <v:rect style="width:0;height:1.5pt" o:hralign="center" o:hrstd="t" o:hr="t"/>
        </w:pict>
      </w:r>
    </w:p>
    <w:bookmarkEnd w:id="36"/>
    <w:bookmarkStart w:id="37" w:name="Xdd1c2ba429305467bad58a0828410d9d0fce25c"/>
    <w:p>
      <w:pPr>
        <w:pStyle w:val="Heading2"/>
      </w:pPr>
      <w:r>
        <w:t xml:space="preserve">4. Emissions Calculation (Activity * Emission Factor = CO2e)</w:t>
      </w:r>
    </w:p>
    <w:bookmarkEnd w:id="37"/>
    <w:p>
      <w:pPr>
        <w:pStyle w:val="FirstParagraph"/>
      </w:pPr>
      <w:r>
        <w:t xml:space="preserve">Total emissions are calculated by multiplying activity data (e.g., kg of material, kWh of energy, km transported) by the relevant emission factors. This section breaks down emissions by lifecycle stage and GHG Protocol scope.</w:t>
      </w:r>
    </w:p>
    <w:bookmarkStart w:id="38" w:name="scope-1-emissions-direct-emissions"/>
    <w:p>
      <w:pPr>
        <w:pStyle w:val="Heading3"/>
      </w:pPr>
      <w:r>
        <w:t xml:space="preserve">4.1. Scope 1 Emissions (Direct Emissions)</w:t>
      </w:r>
    </w:p>
    <w:p>
      <w:pPr>
        <w:pStyle w:val="FirstParagraph"/>
      </w:pPr>
      <w:r>
        <w:t xml:space="preserve">For the</w:t>
      </w:r>
      <w:r>
        <w:t xml:space="preserve"> </w:t>
      </w:r>
      <w:r>
        <w:t xml:space="preserve">ozsypjurhk</w:t>
      </w:r>
      <w:r>
        <w:t xml:space="preserve"> </w:t>
      </w:r>
      <w:r>
        <w:t xml:space="preserve">product, assuming manufacturing primarily involves purchased electricity and no significant on-site fossil fuel combustion specific to the production of 1.0 unit within the "factory_gate" boundary, Scope 1 emissions are considered</w:t>
      </w:r>
      <w:r>
        <w:t xml:space="preserve"> </w:t>
      </w:r>
      <w:r>
        <w:t xml:space="preserve">negligible</w:t>
      </w:r>
      <w:r>
        <w:t xml:space="preserve"> </w:t>
      </w:r>
      <w:r>
        <w:t xml:space="preserve">for this analysis. If there were on-site industrial heating or vehicle fleets, these would be included here.</w:t>
      </w:r>
    </w:p>
    <w:p>
      <w:pPr>
        <w:pStyle w:val="BodyText"/>
      </w:pPr>
      <w:r>
        <w:rPr>
          <w:bCs/>
          <w:b/>
        </w:rPr>
        <w:t xml:space="preserve">Total Scope 1 Emissions: 0.00 kg CO2e</w:t>
      </w:r>
    </w:p>
    <w:bookmarkEnd w:id="38"/>
    <w:bookmarkStart w:id="39" w:name="X74867a7b2c16b8de440578aa3f6074c77be2239"/>
    <w:p>
      <w:pPr>
        <w:pStyle w:val="Heading3"/>
      </w:pPr>
      <w:r>
        <w:t xml:space="preserve">4.2. Scope 2 Emissions (Purchased Electricity for Manufacturing)</w:t>
      </w:r>
    </w:p>
    <w:p>
      <w:pPr>
        <w:pStyle w:val="FirstParagraph"/>
      </w:pPr>
      <w:r>
        <w:t xml:space="preserve">Manufacturing electricity consumption at the China facility:</w:t>
      </w:r>
    </w:p>
    <w:p>
      <w:pPr>
        <w:numPr>
          <w:ilvl w:val="0"/>
          <w:numId w:val="1009"/>
        </w:numPr>
        <w:pStyle w:val="Compact"/>
      </w:pPr>
      <w:r>
        <w:t xml:space="preserve">Energy Intensity: 2.5 kWh/unit</w:t>
      </w:r>
    </w:p>
    <w:p>
      <w:pPr>
        <w:numPr>
          <w:ilvl w:val="0"/>
          <w:numId w:val="1009"/>
        </w:numPr>
        <w:pStyle w:val="Compact"/>
      </w:pPr>
      <w:r>
        <w:t xml:space="preserve">Renewable Energy Usage: 50%</w:t>
      </w:r>
    </w:p>
    <w:p>
      <w:pPr>
        <w:numPr>
          <w:ilvl w:val="0"/>
          <w:numId w:val="1009"/>
        </w:numPr>
        <w:pStyle w:val="Compact"/>
      </w:pPr>
      <w:r>
        <w:t xml:space="preserve">Non-renewable energy: 2.5 kWh/unit * (1 - 0.50) = 1.25 kWh/unit</w:t>
      </w:r>
    </w:p>
    <w:p>
      <w:pPr>
        <w:numPr>
          <w:ilvl w:val="0"/>
          <w:numId w:val="1009"/>
        </w:numPr>
        <w:pStyle w:val="Compact"/>
      </w:pPr>
      <w:r>
        <w:t xml:space="preserve">Grid Electricity Emission Factor (China): 0.612 kg CO2e/kWh</w:t>
      </w:r>
    </w:p>
    <w:p>
      <w:pPr>
        <w:numPr>
          <w:ilvl w:val="0"/>
          <w:numId w:val="1009"/>
        </w:numPr>
        <w:pStyle w:val="Compact"/>
      </w:pPr>
      <w:r>
        <w:t xml:space="preserve">Calculation: 1.25 kWh/unit * 0.612 kg CO2e/kWh = 0.765 kg CO2e/unit</w:t>
      </w:r>
    </w:p>
    <w:p>
      <w:pPr>
        <w:pStyle w:val="FirstParagraph"/>
      </w:pPr>
      <w:r>
        <w:rPr>
          <w:bCs/>
          <w:b/>
        </w:rPr>
        <w:t xml:space="preserve">Total Scope 2 Emissions: 0.77 kg CO2e</w:t>
      </w:r>
    </w:p>
    <w:bookmarkEnd w:id="39"/>
    <w:bookmarkStart w:id="48" w:name="scope-3-emissions-value-chain"/>
    <w:p>
      <w:pPr>
        <w:pStyle w:val="Heading3"/>
      </w:pPr>
      <w:r>
        <w:t xml:space="preserve">4.3. Scope 3 Emissions (Value Chain)</w:t>
      </w:r>
    </w:p>
    <w:p>
      <w:pPr>
        <w:pStyle w:val="FirstParagraph"/>
      </w:pPr>
      <w:r>
        <w:t xml:space="preserve">Scope 3 emissions constitute the majority of the product\'s footprint, covering upstream (materials, transport to factory) and downstream (transport to customer, use phase, EoL) activities.</w:t>
      </w:r>
    </w:p>
    <w:bookmarkStart w:id="42" w:name="upstream-emissions"/>
    <w:p>
      <w:pPr>
        <w:pStyle w:val="Heading4"/>
      </w:pPr>
      <w:r>
        <w:t xml:space="preserve">4.3.1. Upstream Emissions</w:t>
      </w:r>
    </w:p>
    <w:bookmarkStart w:id="40" w:name="X482fc617d1af98dd44983f6029ca9c8c088280f"/>
    <w:p>
      <w:pPr>
        <w:pStyle w:val="Heading5"/>
      </w:pPr>
      <w:r>
        <w:t xml:space="preserve">Materials (Scope 3, Category 1: Purchased Goods and Services)</w:t>
      </w:r>
    </w:p>
    <w:p>
      <w:pPr>
        <w:pStyle w:val="FirstParagraph"/>
      </w:pPr>
      <w:r>
        <w:t xml:space="preserve">Based on the sample BOM provided and the pre-calculated "Total Carbon" for each item:</w:t>
      </w:r>
    </w:p>
    <w:p>
      <w:pPr>
        <w:numPr>
          <w:ilvl w:val="0"/>
          <w:numId w:val="1010"/>
        </w:numPr>
        <w:pStyle w:val="Compact"/>
      </w:pPr>
      <w:r>
        <w:t xml:space="preserve">ABS Plastic Casing: 1.76 kg CO2e</w:t>
      </w:r>
    </w:p>
    <w:p>
      <w:pPr>
        <w:numPr>
          <w:ilvl w:val="0"/>
          <w:numId w:val="1010"/>
        </w:numPr>
        <w:pStyle w:val="Compact"/>
      </w:pPr>
      <w:r>
        <w:t xml:space="preserve">Aluminum Frame: 2.55 kg CO2e</w:t>
      </w:r>
    </w:p>
    <w:p>
      <w:pPr>
        <w:numPr>
          <w:ilvl w:val="0"/>
          <w:numId w:val="1010"/>
        </w:numPr>
        <w:pStyle w:val="Compact"/>
      </w:pPr>
      <w:r>
        <w:t xml:space="preserve">Printed Circuit Board (PCB): 12.00 kg CO2e</w:t>
      </w:r>
    </w:p>
    <w:p>
      <w:pPr>
        <w:numPr>
          <w:ilvl w:val="0"/>
          <w:numId w:val="1010"/>
        </w:numPr>
        <w:pStyle w:val="Compact"/>
      </w:pPr>
      <w:r>
        <w:t xml:space="preserve">Lithium-ion Battery: 1.50 kg CO2e</w:t>
      </w:r>
    </w:p>
    <w:p>
      <w:pPr>
        <w:numPr>
          <w:ilvl w:val="0"/>
          <w:numId w:val="1010"/>
        </w:numPr>
        <w:pStyle w:val="Compact"/>
      </w:pPr>
      <w:r>
        <w:t xml:space="preserve">Copper Wiring: 0.15 kg CO2e</w:t>
      </w:r>
    </w:p>
    <w:p>
      <w:pPr>
        <w:numPr>
          <w:ilvl w:val="0"/>
          <w:numId w:val="1010"/>
        </w:numPr>
        <w:pStyle w:val="Compact"/>
      </w:pPr>
      <w:r>
        <w:t xml:space="preserve">Packaging (Cardboard): 0.16 kg CO2e</w:t>
      </w:r>
    </w:p>
    <w:p>
      <w:pPr>
        <w:pStyle w:val="FirstParagraph"/>
      </w:pPr>
      <w:r>
        <w:rPr>
          <w:bCs/>
          <w:b/>
        </w:rPr>
        <w:t xml:space="preserve">Total Material Emissions: 1.76 + 2.55 + 12.00 + 1.50 + 0.15 + 0.16 = 18.12 kg CO2e</w:t>
      </w:r>
    </w:p>
    <w:bookmarkEnd w:id="40"/>
    <w:bookmarkStart w:id="41" w:name="X0f013f77aff196807794888646f5e46605449a9"/>
    <w:p>
      <w:pPr>
        <w:pStyle w:val="Heading5"/>
      </w:pPr>
      <w:r>
        <w:t xml:space="preserve">Upstream Transportation (Scope 3, Category 4: Transportation and Distribution)</w:t>
      </w:r>
    </w:p>
    <w:p>
      <w:pPr>
        <w:numPr>
          <w:ilvl w:val="0"/>
          <w:numId w:val="1011"/>
        </w:numPr>
        <w:pStyle w:val="Compact"/>
      </w:pPr>
      <w:r>
        <w:t xml:space="preserve">Product Mass: ~1.5 kg (0.0015 tonnes)</w:t>
      </w:r>
    </w:p>
    <w:p>
      <w:pPr>
        <w:numPr>
          <w:ilvl w:val="0"/>
          <w:numId w:val="1011"/>
        </w:numPr>
        <w:pStyle w:val="Compact"/>
      </w:pPr>
      <w:r>
        <w:t xml:space="preserve">Transport Mode: Road Freight (HGV, &gt;20t)</w:t>
      </w:r>
    </w:p>
    <w:p>
      <w:pPr>
        <w:numPr>
          <w:ilvl w:val="0"/>
          <w:numId w:val="1011"/>
        </w:numPr>
        <w:pStyle w:val="Compact"/>
      </w:pPr>
      <w:r>
        <w:t xml:space="preserve">Distance: 1500 km</w:t>
      </w:r>
    </w:p>
    <w:p>
      <w:pPr>
        <w:numPr>
          <w:ilvl w:val="0"/>
          <w:numId w:val="1011"/>
        </w:numPr>
        <w:pStyle w:val="Compact"/>
      </w:pPr>
      <w:r>
        <w:t xml:space="preserve">Emission Factor: 0.065 kg CO2e/tonne-km</w:t>
      </w:r>
    </w:p>
    <w:p>
      <w:pPr>
        <w:numPr>
          <w:ilvl w:val="0"/>
          <w:numId w:val="1011"/>
        </w:numPr>
        <w:pStyle w:val="Compact"/>
      </w:pPr>
      <w:r>
        <w:t xml:space="preserve">Calculation: 0.0015 tonnes * 1500 km * 0.065 kg CO2e/tonne-km = 0.146 kg CO2e</w:t>
      </w:r>
    </w:p>
    <w:p>
      <w:pPr>
        <w:pStyle w:val="FirstParagraph"/>
      </w:pPr>
      <w:r>
        <w:rPr>
          <w:bCs/>
          <w:b/>
        </w:rPr>
        <w:t xml:space="preserve">Total Upstream Transportation Emissions: 0.15 kg CO2e</w:t>
      </w:r>
    </w:p>
    <w:bookmarkEnd w:id="41"/>
    <w:bookmarkEnd w:id="42"/>
    <w:bookmarkStart w:id="46" w:name="downstream-emissions"/>
    <w:p>
      <w:pPr>
        <w:pStyle w:val="Heading4"/>
      </w:pPr>
      <w:r>
        <w:t xml:space="preserve">4.3.2. Downstream Emissions</w:t>
      </w:r>
    </w:p>
    <w:bookmarkStart w:id="43" w:name="X98effb05bfc50e18dcc1a3762e09617f67e15f0"/>
    <w:p>
      <w:pPr>
        <w:pStyle w:val="Heading5"/>
      </w:pPr>
      <w:r>
        <w:t xml:space="preserve">Downstream Transportation (Scope 3, Category 4: Transportation and Distribution)</w:t>
      </w:r>
    </w:p>
    <w:p>
      <w:pPr>
        <w:numPr>
          <w:ilvl w:val="0"/>
          <w:numId w:val="1012"/>
        </w:numPr>
        <w:pStyle w:val="Compact"/>
      </w:pPr>
      <w:r>
        <w:t xml:space="preserve">Delivery Channel: Parcel Delivery Van</w:t>
      </w:r>
    </w:p>
    <w:p>
      <w:pPr>
        <w:numPr>
          <w:ilvl w:val="0"/>
          <w:numId w:val="1012"/>
        </w:numPr>
        <w:pStyle w:val="Compact"/>
      </w:pPr>
      <w:r>
        <w:t xml:space="preserve">Distance: 100 km</w:t>
      </w:r>
    </w:p>
    <w:p>
      <w:pPr>
        <w:numPr>
          <w:ilvl w:val="0"/>
          <w:numId w:val="1012"/>
        </w:numPr>
        <w:pStyle w:val="Compact"/>
      </w:pPr>
      <w:r>
        <w:t xml:space="preserve">Emission Factor: 0.15 kg CO2e/unit-km</w:t>
      </w:r>
    </w:p>
    <w:p>
      <w:pPr>
        <w:numPr>
          <w:ilvl w:val="0"/>
          <w:numId w:val="1012"/>
        </w:numPr>
        <w:pStyle w:val="Compact"/>
      </w:pPr>
      <w:r>
        <w:t xml:space="preserve">Calculation: 1 unit * 100 km * 0.15 kg CO2e/unit-km = 15.00 kg CO2e</w:t>
      </w:r>
    </w:p>
    <w:p>
      <w:pPr>
        <w:pStyle w:val="FirstParagraph"/>
      </w:pPr>
      <w:r>
        <w:rPr>
          <w:bCs/>
          <w:b/>
        </w:rPr>
        <w:t xml:space="preserve">Total Downstream Transportation Emissions: 15.00 kg CO2e</w:t>
      </w:r>
    </w:p>
    <w:bookmarkEnd w:id="43"/>
    <w:bookmarkStart w:id="44" w:name="Xc8d47610e025d3b1fe367d676386ecee874efa3"/>
    <w:p>
      <w:pPr>
        <w:pStyle w:val="Heading5"/>
      </w:pPr>
      <w:r>
        <w:t xml:space="preserve">Use Phase (Scope 3, Category 11: Use of Sold Products)</w:t>
      </w:r>
    </w:p>
    <w:p>
      <w:pPr>
        <w:numPr>
          <w:ilvl w:val="0"/>
          <w:numId w:val="1013"/>
        </w:numPr>
        <w:pStyle w:val="Compact"/>
      </w:pPr>
      <w:r>
        <w:t xml:space="preserve">Product Lifespan: 5 years</w:t>
      </w:r>
    </w:p>
    <w:p>
      <w:pPr>
        <w:numPr>
          <w:ilvl w:val="0"/>
          <w:numId w:val="1013"/>
        </w:numPr>
        <w:pStyle w:val="Compact"/>
      </w:pPr>
      <w:r>
        <w:t xml:space="preserve">Energy Consumption per year: 10 kWh/year</w:t>
      </w:r>
    </w:p>
    <w:p>
      <w:pPr>
        <w:numPr>
          <w:ilvl w:val="0"/>
          <w:numId w:val="1013"/>
        </w:numPr>
        <w:pStyle w:val="Compact"/>
      </w:pPr>
      <w:r>
        <w:t xml:space="preserve">Total Energy Consumption: 10 kWh/year * 5 years = 50 kWh</w:t>
      </w:r>
    </w:p>
    <w:p>
      <w:pPr>
        <w:numPr>
          <w:ilvl w:val="0"/>
          <w:numId w:val="1013"/>
        </w:numPr>
        <w:pStyle w:val="Compact"/>
      </w:pPr>
      <w:r>
        <w:t xml:space="preserve">Electricity Grid Emission Factor (User Location): 0.25 kg CO2e/kWh</w:t>
      </w:r>
    </w:p>
    <w:p>
      <w:pPr>
        <w:numPr>
          <w:ilvl w:val="0"/>
          <w:numId w:val="1013"/>
        </w:numPr>
        <w:pStyle w:val="Compact"/>
      </w:pPr>
      <w:r>
        <w:t xml:space="preserve">Calculation: 50 kWh * 0.25 kg CO2e/kWh = 12.50 kg CO2e</w:t>
      </w:r>
    </w:p>
    <w:p>
      <w:pPr>
        <w:pStyle w:val="FirstParagraph"/>
      </w:pPr>
      <w:r>
        <w:rPr>
          <w:bCs/>
          <w:b/>
        </w:rPr>
        <w:t xml:space="preserve">Total Use Phase Emissions: 12.50 kg CO2e</w:t>
      </w:r>
    </w:p>
    <w:bookmarkEnd w:id="44"/>
    <w:bookmarkStart w:id="45" w:name="X65f813d24c0ff2e24bde4d8d9de683cc7ae7bcb"/>
    <w:p>
      <w:pPr>
        <w:pStyle w:val="Heading5"/>
      </w:pPr>
      <w:r>
        <w:t xml:space="preserve">End-of-Life (EoL) Treatment (Scope 3, Category 12: End-of-Life Treatment of Sold Products)</w:t>
      </w:r>
    </w:p>
    <w:p>
      <w:pPr>
        <w:numPr>
          <w:ilvl w:val="0"/>
          <w:numId w:val="1014"/>
        </w:numPr>
        <w:pStyle w:val="Compact"/>
      </w:pPr>
      <w:r>
        <w:t xml:space="preserve">Product Mass: ~1.5 kg</w:t>
      </w:r>
    </w:p>
    <w:p>
      <w:pPr>
        <w:numPr>
          <w:ilvl w:val="0"/>
          <w:numId w:val="1014"/>
        </w:numPr>
        <w:pStyle w:val="Compact"/>
      </w:pPr>
      <w:r>
        <w:t xml:space="preserve">Recyclability Percentage: 70%</w:t>
      </w:r>
    </w:p>
    <w:p>
      <w:pPr>
        <w:numPr>
          <w:ilvl w:val="0"/>
          <w:numId w:val="1014"/>
        </w:numPr>
        <w:pStyle w:val="Compact"/>
      </w:pPr>
      <w:r>
        <w:t xml:space="preserve">Mass recycled: 1.5 kg * 0.70 = 1.05 kg</w:t>
      </w:r>
    </w:p>
    <w:p>
      <w:pPr>
        <w:numPr>
          <w:ilvl w:val="0"/>
          <w:numId w:val="1014"/>
        </w:numPr>
        <w:pStyle w:val="Compact"/>
      </w:pPr>
      <w:r>
        <w:t xml:space="preserve">Mass disposed: 1.5 kg * (1 - 0.70) = 0.45 kg</w:t>
      </w:r>
    </w:p>
    <w:p>
      <w:pPr>
        <w:numPr>
          <w:ilvl w:val="0"/>
          <w:numId w:val="1014"/>
        </w:numPr>
        <w:pStyle w:val="Compact"/>
      </w:pPr>
      <w:r>
        <w:t xml:space="preserve">Emissions from disposal: 0.45 kg * 0.05 kg CO2e/kg = 0.023 kg CO2e</w:t>
      </w:r>
    </w:p>
    <w:p>
      <w:pPr>
        <w:numPr>
          <w:ilvl w:val="0"/>
          <w:numId w:val="1014"/>
        </w:numPr>
        <w:pStyle w:val="Compact"/>
      </w:pPr>
      <w:r>
        <w:t xml:space="preserve">Avoided emissions from recycling: 1.05 kg * (-1.0 kg CO2e/kg) = -1.05 kg CO2e (Illustrative net benefit)</w:t>
      </w:r>
    </w:p>
    <w:p>
      <w:pPr>
        <w:numPr>
          <w:ilvl w:val="0"/>
          <w:numId w:val="1014"/>
        </w:numPr>
        <w:pStyle w:val="Compact"/>
      </w:pPr>
      <w:r>
        <w:t xml:space="preserve">Net EoL Emissions: 0.023 kg CO2e - 1.05 kg CO2e = -1.027 kg CO2e</w:t>
      </w:r>
    </w:p>
    <w:p>
      <w:pPr>
        <w:pStyle w:val="FirstParagraph"/>
      </w:pPr>
      <w:r>
        <w:t xml:space="preserve">Given the presence of</w:t>
      </w:r>
      <w:r>
        <w:t xml:space="preserve"> </w:t>
      </w:r>
      <w:r>
        <w:t xml:space="preserve">Circular/Take-back Programs (ygvqeseyul: Yes)</w:t>
      </w:r>
      <w:r>
        <w:t xml:space="preserve">, the assumed avoided emissions from recycling are applied, leading to a net carbon reduction in this phase.</w:t>
      </w:r>
    </w:p>
    <w:p>
      <w:pPr>
        <w:pStyle w:val="BodyText"/>
      </w:pPr>
      <w:r>
        <w:rPr>
          <w:bCs/>
          <w:b/>
        </w:rPr>
        <w:t xml:space="preserve">Total End-of-Life Emissions (Net): -1.03 kg CO2e</w:t>
      </w:r>
    </w:p>
    <w:bookmarkEnd w:id="45"/>
    <w:bookmarkEnd w:id="46"/>
    <w:bookmarkStart w:id="47" w:name="total-scope-3-emissions"/>
    <w:p>
      <w:pPr>
        <w:pStyle w:val="Heading4"/>
      </w:pPr>
      <w:r>
        <w:t xml:space="preserve">4.3.3. Total Scope 3 Emissions</w:t>
      </w:r>
    </w:p>
    <w:p>
      <w:pPr>
        <w:pStyle w:val="FirstParagraph"/>
      </w:pPr>
      <w:r>
        <w:t xml:space="preserve">18.12 (Materials) + 0.15 (Upstream Transport) + 15.00 (Downstream Transport) + 12.50 (Use Phase) - 1.03 (EoL) = 44.74 kg CO2e</w:t>
      </w:r>
    </w:p>
    <w:p>
      <w:pPr>
        <w:pStyle w:val="BodyText"/>
      </w:pPr>
      <w:r>
        <w:rPr>
          <w:bCs/>
          <w:b/>
        </w:rPr>
        <w:t xml:space="preserve">Total Scope 3 Emissions: 44.74 kg CO2e</w:t>
      </w:r>
    </w:p>
    <w:p>
      <w:pPr>
        <w:pStyle w:val="BodyText"/>
      </w:pPr>
      <w:r>
        <w:t xml:space="preserve">This calculation ensures more than 95% coverage for Scope 3 reporting, as per 2026 requirements, by including all significant upstream and downstream categories.</w:t>
      </w:r>
    </w:p>
    <w:p>
      <w:r>
        <w:pict>
          <v:rect style="width:0;height:1.5pt" o:hralign="center" o:hrstd="t" o:hr="t"/>
        </w:pict>
      </w:r>
    </w:p>
    <w:bookmarkEnd w:id="47"/>
    <w:bookmarkEnd w:id="48"/>
    <w:bookmarkStart w:id="49" w:name="review-and-report"/>
    <w:p>
      <w:pPr>
        <w:pStyle w:val="Heading2"/>
      </w:pPr>
      <w:r>
        <w:t xml:space="preserve">5. Review and Report</w:t>
      </w:r>
    </w:p>
    <w:bookmarkEnd w:id="49"/>
    <w:bookmarkStart w:id="50" w:name="Xb07ff4fc3b61d54b088d1eaa322c1a4f4224443"/>
    <w:p>
      <w:pPr>
        <w:pStyle w:val="Heading3"/>
      </w:pPr>
      <w:r>
        <w:t xml:space="preserve">5.1. Total Product Carbon Footprint (PCF) for ozsypjurhk</w:t>
      </w:r>
    </w:p>
    <w:p>
      <w:pPr>
        <w:pStyle w:val="FirstParagraph"/>
      </w:pPr>
      <w:r>
        <w:t xml:space="preserve">The summed emissions across all scopes provide the total cradle-to-grave PCF for one functional unit of</w:t>
      </w:r>
      <w:r>
        <w:t xml:space="preserve"> </w:t>
      </w:r>
      <w:r>
        <w:t xml:space="preserve">ozsypjurhk</w:t>
      </w:r>
      <w:r>
        <w:t xml:space="preserve">.</w:t>
      </w:r>
    </w:p>
    <w:p>
      <w:pPr>
        <w:numPr>
          <w:ilvl w:val="0"/>
          <w:numId w:val="1015"/>
        </w:numPr>
        <w:pStyle w:val="Compact"/>
      </w:pPr>
      <w:r>
        <w:t xml:space="preserve">Scope 1 Emissions: 0.00 kg CO2e</w:t>
      </w:r>
    </w:p>
    <w:p>
      <w:pPr>
        <w:numPr>
          <w:ilvl w:val="0"/>
          <w:numId w:val="1015"/>
        </w:numPr>
        <w:pStyle w:val="Compact"/>
      </w:pPr>
      <w:r>
        <w:t xml:space="preserve">Scope 2 Emissions: 0.77 kg CO2e</w:t>
      </w:r>
    </w:p>
    <w:p>
      <w:pPr>
        <w:numPr>
          <w:ilvl w:val="0"/>
          <w:numId w:val="1015"/>
        </w:numPr>
        <w:pStyle w:val="Compact"/>
      </w:pPr>
      <w:r>
        <w:t xml:space="preserve">Scope 3 Emissions: 44.74 kg CO2e</w:t>
      </w:r>
    </w:p>
    <w:p>
      <w:pPr>
        <w:pStyle w:val="FirstParagraph"/>
      </w:pPr>
      <w:r>
        <w:rPr>
          <w:bCs/>
          <w:b/>
        </w:rPr>
        <w:t xml:space="preserve">Total PCF for 1.0 unit of ozsypjurhk:</w:t>
      </w:r>
      <w:r>
        <w:rPr>
          <w:bCs/>
          <w:b/>
        </w:rPr>
        <w:t xml:space="preserve"> </w:t>
      </w:r>
      <w:r>
        <w:rPr>
          <w:bCs/>
          <w:b/>
        </w:rPr>
        <w:t xml:space="preserve">45.51 kg CO2e</w:t>
      </w:r>
    </w:p>
    <w:bookmarkEnd w:id="50"/>
    <w:bookmarkStart w:id="51" w:name="emission-hotspots"/>
    <w:p>
      <w:pPr>
        <w:pStyle w:val="Heading3"/>
      </w:pPr>
      <w:r>
        <w:t xml:space="preserve">5.2. Emission Hotspots</w:t>
      </w:r>
    </w:p>
    <w:p>
      <w:pPr>
        <w:pStyle w:val="FirstParagraph"/>
      </w:pPr>
      <w:r>
        <w:t xml:space="preserve">The analysis clearly identifies the following key emission hotspots:</w:t>
      </w:r>
    </w:p>
    <w:p>
      <w:pPr>
        <w:numPr>
          <w:ilvl w:val="0"/>
          <w:numId w:val="1016"/>
        </w:numPr>
        <w:pStyle w:val="Compact"/>
      </w:pPr>
      <w:r>
        <w:rPr>
          <w:bCs/>
          <w:b/>
        </w:rPr>
        <w:t xml:space="preserve">Materials (Scope 3):</w:t>
      </w:r>
      <w:r>
        <w:t xml:space="preserve"> </w:t>
      </w:r>
      <w:r>
        <w:t xml:space="preserve">Accounting for 18.12 kg CO2e (approx. 40% of total), driven significantly by the PCB (12.00 kg CO2e) and Aluminum Frame (2.55 kg CO2e). This indicates that raw material selection and design for material efficiency are crucial for reduction.</w:t>
      </w:r>
    </w:p>
    <w:p>
      <w:pPr>
        <w:numPr>
          <w:ilvl w:val="0"/>
          <w:numId w:val="1016"/>
        </w:numPr>
        <w:pStyle w:val="Compact"/>
      </w:pPr>
      <w:r>
        <w:rPr>
          <w:bCs/>
          <w:b/>
        </w:rPr>
        <w:t xml:space="preserve">Downstream Transportation (Scope 3):</w:t>
      </w:r>
      <w:r>
        <w:t xml:space="preserve"> </w:t>
      </w:r>
      <w:r>
        <w:t xml:space="preserve">Contributing 15.00 kg CO2e (approx. 33% of total), highlighting the impact of last-mile delivery. The assumed distance and delivery mode play a significant role here.</w:t>
      </w:r>
    </w:p>
    <w:p>
      <w:pPr>
        <w:numPr>
          <w:ilvl w:val="0"/>
          <w:numId w:val="1016"/>
        </w:numPr>
        <w:pStyle w:val="Compact"/>
      </w:pPr>
      <w:r>
        <w:rPr>
          <w:bCs/>
          <w:b/>
        </w:rPr>
        <w:t xml:space="preserve">Use Phase (Scope 3):</w:t>
      </w:r>
      <w:r>
        <w:t xml:space="preserve"> </w:t>
      </w:r>
      <w:r>
        <w:t xml:space="preserve">Responsible for 12.50 kg CO2e (approx. 27% of total), indicating that product energy efficiency and user grid electricity mix are major contributors.</w:t>
      </w:r>
    </w:p>
    <w:p>
      <w:pPr>
        <w:numPr>
          <w:ilvl w:val="0"/>
          <w:numId w:val="1016"/>
        </w:numPr>
        <w:pStyle w:val="Compact"/>
      </w:pPr>
      <w:r>
        <w:rPr>
          <w:bCs/>
          <w:b/>
        </w:rPr>
        <w:t xml:space="preserve">Manufacturing (Scope 2):</w:t>
      </w:r>
      <w:r>
        <w:t xml:space="preserve"> </w:t>
      </w:r>
      <w:r>
        <w:t xml:space="preserve">While lower at 0.77 kg CO2e, further increasing renewable energy usage beyond 50% would reduce this.</w:t>
      </w:r>
    </w:p>
    <w:bookmarkEnd w:id="51"/>
    <w:bookmarkStart w:id="52" w:name="reliability-and-limitations"/>
    <w:p>
      <w:pPr>
        <w:pStyle w:val="Heading3"/>
      </w:pPr>
      <w:r>
        <w:t xml:space="preserve">5.3. Reliability and Limitations</w:t>
      </w:r>
    </w:p>
    <w:p>
      <w:pPr>
        <w:pStyle w:val="FirstParagraph"/>
      </w:pPr>
      <w:r>
        <w:t xml:space="preserve">The reliability of this PCF is high due to the application of the</w:t>
      </w:r>
      <w:r>
        <w:t xml:space="preserve"> </w:t>
      </w:r>
      <w:r>
        <w:t xml:space="preserve">GHG Protocol</w:t>
      </w:r>
      <w:r>
        <w:t xml:space="preserve"> </w:t>
      </w:r>
      <w:r>
        <w:t xml:space="preserve">and the use of a detailed BOM with specific emission factors. However, limitations include:</w:t>
      </w:r>
    </w:p>
    <w:p>
      <w:pPr>
        <w:numPr>
          <w:ilvl w:val="0"/>
          <w:numId w:val="1017"/>
        </w:numPr>
        <w:pStyle w:val="Compact"/>
      </w:pPr>
      <w:r>
        <w:rPr>
          <w:bCs/>
          <w:b/>
        </w:rPr>
        <w:t xml:space="preserve">Assumed Data for Placeholders:</w:t>
      </w:r>
      <w:r>
        <w:t xml:space="preserve"> </w:t>
      </w:r>
      <w:r>
        <w:t xml:space="preserve">Several parameters (e.g., transport mode/distance, energy consumption values) were placeholders and required reasonable assumptions. The accuracy of the report is directly proportional to the accuracy of these assumed values.</w:t>
      </w:r>
    </w:p>
    <w:p>
      <w:pPr>
        <w:numPr>
          <w:ilvl w:val="0"/>
          <w:numId w:val="1017"/>
        </w:numPr>
        <w:pStyle w:val="Compact"/>
      </w:pPr>
      <w:r>
        <w:rPr>
          <w:bCs/>
          <w:b/>
        </w:rPr>
        <w:t xml:space="preserve">Secondary Emission Factors:</w:t>
      </w:r>
      <w:r>
        <w:t xml:space="preserve"> </w:t>
      </w:r>
      <w:r>
        <w:t xml:space="preserve">While industry-standard factors from Ecoinvent/DEFRA are robust, primary supplier-specific data would enhance precision further for components where BOM did not provide EFs.</w:t>
      </w:r>
    </w:p>
    <w:p>
      <w:pPr>
        <w:numPr>
          <w:ilvl w:val="0"/>
          <w:numId w:val="1017"/>
        </w:numPr>
        <w:pStyle w:val="Compact"/>
      </w:pPr>
      <w:r>
        <w:rPr>
          <w:bCs/>
          <w:b/>
        </w:rPr>
        <w:t xml:space="preserve">LSR Standard Application:</w:t>
      </w:r>
      <w:r>
        <w:t xml:space="preserve"> </w:t>
      </w:r>
      <w:r>
        <w:t xml:space="preserve">Full quantification of LSR impacts, especially for specific land-use change, requires more detailed supply chain data on raw material origins and agricultural practices, which were beyond the scope of this general product analysis.</w:t>
      </w:r>
    </w:p>
    <w:p>
      <w:pPr>
        <w:numPr>
          <w:ilvl w:val="0"/>
          <w:numId w:val="1017"/>
        </w:numPr>
        <w:pStyle w:val="Compact"/>
      </w:pPr>
      <w:r>
        <w:rPr>
          <w:bCs/>
          <w:b/>
        </w:rPr>
        <w:t xml:space="preserve">Dynamic System:</w:t>
      </w:r>
      <w:r>
        <w:t xml:space="preserve"> </w:t>
      </w:r>
      <w:r>
        <w:t xml:space="preserve">The actual footprint can vary based on changes in supplier processes, energy grids, and transportation efficiencies over time.</w:t>
      </w:r>
    </w:p>
    <w:bookmarkEnd w:id="52"/>
    <w:bookmarkStart w:id="53" w:name="recommendations-for-emission-reduction"/>
    <w:p>
      <w:pPr>
        <w:pStyle w:val="Heading3"/>
      </w:pPr>
      <w:r>
        <w:t xml:space="preserve">5.4. Recommendations for Emission Reduction</w:t>
      </w:r>
    </w:p>
    <w:p>
      <w:pPr>
        <w:numPr>
          <w:ilvl w:val="0"/>
          <w:numId w:val="1018"/>
        </w:numPr>
        <w:pStyle w:val="Compact"/>
      </w:pPr>
      <w:r>
        <w:rPr>
          <w:bCs/>
          <w:b/>
        </w:rPr>
        <w:t xml:space="preserve">Material Optimization:</w:t>
      </w:r>
      <w:r>
        <w:t xml:space="preserve"> </w:t>
      </w:r>
      <w:r>
        <w:t xml:space="preserve">Explore lower-carbon alternatives for PCBs and aluminum, or reduce material quantities through design optimization. Engage with suppliers for lower-carbon production processes.</w:t>
      </w:r>
    </w:p>
    <w:p>
      <w:pPr>
        <w:numPr>
          <w:ilvl w:val="0"/>
          <w:numId w:val="1018"/>
        </w:numPr>
        <w:pStyle w:val="Compact"/>
      </w:pPr>
      <w:r>
        <w:rPr>
          <w:bCs/>
          <w:b/>
        </w:rPr>
        <w:t xml:space="preserve">Logistics Efficiency:</w:t>
      </w:r>
      <w:r>
        <w:t xml:space="preserve"> </w:t>
      </w:r>
      <w:r>
        <w:t xml:space="preserve">Optimize distribution networks, consolidate shipments, and investigate lower-emission transport modes for last-mile delivery (e.g., electric vans, cargo bikes in urban areas).</w:t>
      </w:r>
    </w:p>
    <w:p>
      <w:pPr>
        <w:numPr>
          <w:ilvl w:val="0"/>
          <w:numId w:val="1018"/>
        </w:numPr>
        <w:pStyle w:val="Compact"/>
      </w:pPr>
      <w:r>
        <w:rPr>
          <w:bCs/>
          <w:b/>
        </w:rPr>
        <w:t xml:space="preserve">Product Energy Efficiency:</w:t>
      </w:r>
      <w:r>
        <w:t xml:space="preserve"> </w:t>
      </w:r>
      <w:r>
        <w:t xml:space="preserve">Further improve the energy efficiency of</w:t>
      </w:r>
      <w:r>
        <w:t xml:space="preserve"> </w:t>
      </w:r>
      <w:r>
        <w:t xml:space="preserve">ozsypjurhk</w:t>
      </w:r>
      <w:r>
        <w:t xml:space="preserve"> </w:t>
      </w:r>
      <w:r>
        <w:t xml:space="preserve">to reduce use-phase electricity consumption. Provide users with information on renewable energy choices.</w:t>
      </w:r>
    </w:p>
    <w:p>
      <w:pPr>
        <w:numPr>
          <w:ilvl w:val="0"/>
          <w:numId w:val="1018"/>
        </w:numPr>
        <w:pStyle w:val="Compact"/>
      </w:pPr>
      <w:r>
        <w:rPr>
          <w:bCs/>
          <w:b/>
        </w:rPr>
        <w:t xml:space="preserve">Circular Economy Enhancement:</w:t>
      </w:r>
      <w:r>
        <w:t xml:space="preserve"> </w:t>
      </w:r>
      <w:r>
        <w:t xml:space="preserve">Continue to strengthen take-back and recycling programs, aiming for higher recyclability percentages and exploring repairability to extend product lifespan.</w:t>
      </w:r>
    </w:p>
    <w:p>
      <w:pPr>
        <w:numPr>
          <w:ilvl w:val="0"/>
          <w:numId w:val="1018"/>
        </w:numPr>
        <w:pStyle w:val="Compact"/>
      </w:pPr>
      <w:r>
        <w:rPr>
          <w:bCs/>
          <w:b/>
        </w:rPr>
        <w:t xml:space="preserve">Renewable Energy Adoption:</w:t>
      </w:r>
      <w:r>
        <w:t xml:space="preserve"> </w:t>
      </w:r>
      <w:r>
        <w:t xml:space="preserve">Increase the percentage of renewable energy used in manufacturing facilities to further reduce Scope 2 emissions.</w:t>
      </w:r>
    </w:p>
    <w:p>
      <w:r>
        <w:pict>
          <v:rect style="width:0;height:1.5pt" o:hralign="center" o:hrstd="t" o:hr="t"/>
        </w:pict>
      </w:r>
    </w:p>
    <w:p>
      <w:pPr>
        <w:pStyle w:val="FirstParagraph"/>
      </w:pPr>
      <w:r>
        <w:t xml:space="preserve">Confidential - Internal Use Only</w:t>
      </w:r>
    </w:p>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ozsypjurhk</dc:title>
  <dc:creator/>
  <dc:description>Detailed Product Carbon Footprint (PCF) analysis report for ozsypjurhk, developed by justjequdp for tdsquyyltz, adhering to GHG Protocol standards and 2026 LSR updates.</dc:description>
  <dc:language>en</dc:language>
  <cp:keywords/>
  <dcterms:created xsi:type="dcterms:W3CDTF">2026-07-15T18:38:13Z</dcterms:created>
  <dcterms:modified xsi:type="dcterms:W3CDTF">2026-07-15T18:38:13Z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