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oyzrlhrgvr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oyzrlhrgvr</w:t>
      </w:r>
    </w:p>
    <w:p>
      <w:pPr>
        <w:pStyle w:val="BodyText"/>
      </w:pPr>
      <w:r>
        <w:rPr>
          <w:bCs/>
          <w:b/>
        </w:rPr>
        <w:t xml:space="preserve">Company:</w:t>
      </w:r>
      <w:r>
        <w:t xml:space="preserve"> </w:t>
      </w:r>
      <w:r>
        <w:t xml:space="preserve">fsrmifdwss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vnhzzzwqvn</w:t>
      </w:r>
    </w:p>
    <w:p>
      <w:pPr>
        <w:pStyle w:val="BodyText"/>
      </w:pPr>
      <w:r>
        <w:t xml:space="preserve">This report is generated based on available data and industry standards.</w:t>
      </w:r>
      <w:r>
        <w:t xml:space="preserve"> </w:t>
      </w:r>
      <w:r>
        <w:t xml:space="preserve">The calculations rely on specific parameters provided and illustrative emission factors.</w:t>
      </w:r>
      <w:r>
        <w:t xml:space="preserve"> </w:t>
      </w:r>
      <w:r>
        <w:t xml:space="preserve">Any placeholders were addressed with reasonable assumptions.</w:t>
      </w:r>
    </w:p>
    <w:bookmarkEnd w:id="20"/>
    <w:bookmarkStart w:id="4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oyzrlhrgvr, manufactured by fsrmifdwss.</w:t>
      </w:r>
      <w:r>
        <w:t xml:space="preserve"> </w:t>
      </w:r>
      <w:r>
        <w:t xml:space="preserve">The analysis was conducted by vnhzzzwqvn, Senior Sustainability Consultant, adhering to the GHG Protocol standards.</w:t>
      </w:r>
      <w:r>
        <w:t xml:space="preserve"> </w:t>
      </w:r>
      <w:r>
        <w:t xml:space="preserve">The PCF quantifies the total greenhouse gas (GHG) emissions associated with the product\'s lifecycle, expressed in carbon dioxide equivalents (CO2e).</w:t>
      </w:r>
      <w:r>
        <w:t xml:space="preserve"> </w:t>
      </w:r>
      <w:r>
        <w:t xml:space="preserve">The assessment provides insights into emission hotspots across material acquisition, production, transportation, use, and end-of-life phases,</w:t>
      </w:r>
      <w:r>
        <w:t xml:space="preserve"> </w:t>
      </w:r>
      <w:r>
        <w:t xml:space="preserve">aiming to inform strategic sustainability initiatives and foster greater environmental transparency for oyzrlhrgvr.</w:t>
      </w:r>
    </w:p>
    <w:bookmarkEnd w:id="21"/>
    <w:bookmarkStart w:id="23" w:name="introduction"/>
    <w:p>
      <w:pPr>
        <w:pStyle w:val="Heading2"/>
      </w:pPr>
      <w:r>
        <w:t xml:space="preserve">1. Introduction</w:t>
      </w:r>
    </w:p>
    <w:p>
      <w:pPr>
        <w:pStyle w:val="FirstParagraph"/>
      </w:pPr>
      <w:r>
        <w:t xml:space="preserve">This Product Carbon Footprint (PCF) analysis evaluates the environmental impact of the product oyzrlhrgvr over its lifecycle,</w:t>
      </w:r>
      <w:r>
        <w:t xml:space="preserve"> </w:t>
      </w:r>
      <w:r>
        <w:t xml:space="preserve">from raw material acquisition to end-of-life, following the Greenhouse Gas (GHG) Protocol Product Standard.</w:t>
      </w:r>
      <w:r>
        <w:t xml:space="preserve"> </w:t>
      </w:r>
      <w:r>
        <w:t xml:space="preserve">The goal is to identify emission hotspots, support informed decision-making for product design and supply chain optimization, and enhance reporting transparency.</w:t>
      </w:r>
    </w:p>
    <w:bookmarkStart w:id="22" w:name="key-parameters-and-scope-definition"/>
    <w:p>
      <w:pPr>
        <w:pStyle w:val="Heading3"/>
      </w:pPr>
      <w:r>
        <w:t xml:space="preserve">1.1 Key Parameters and Scope Definition</w:t>
      </w:r>
    </w:p>
    <w:p>
      <w:pPr>
        <w:numPr>
          <w:ilvl w:val="0"/>
          <w:numId w:val="1001"/>
        </w:numPr>
        <w:pStyle w:val="Compact"/>
      </w:pPr>
      <w:r>
        <w:rPr>
          <w:bCs/>
          <w:b/>
        </w:rPr>
        <w:t xml:space="preserve">Product Name:</w:t>
      </w:r>
      <w:r>
        <w:t xml:space="preserve"> </w:t>
      </w:r>
      <w:r>
        <w:t xml:space="preserve">oyzrlhrgvr</w:t>
      </w:r>
    </w:p>
    <w:p>
      <w:pPr>
        <w:numPr>
          <w:ilvl w:val="0"/>
          <w:numId w:val="1001"/>
        </w:numPr>
        <w:pStyle w:val="Compact"/>
      </w:pPr>
      <w:r>
        <w:rPr>
          <w:bCs/>
          <w:b/>
        </w:rPr>
        <w:t xml:space="preserve">Company Name:</w:t>
      </w:r>
      <w:r>
        <w:t xml:space="preserve"> </w:t>
      </w:r>
      <w:r>
        <w:t xml:space="preserve">fsrmifdwss</w:t>
      </w:r>
    </w:p>
    <w:p>
      <w:pPr>
        <w:numPr>
          <w:ilvl w:val="0"/>
          <w:numId w:val="1001"/>
        </w:numPr>
        <w:pStyle w:val="Compact"/>
      </w:pPr>
      <w:r>
        <w:rPr>
          <w:bCs/>
          <w:b/>
        </w:rPr>
        <w:t xml:space="preserve">Senior Sustainability Consultant:</w:t>
      </w:r>
      <w:r>
        <w:t xml:space="preserve"> </w:t>
      </w:r>
      <w:r>
        <w:t xml:space="preserve">vnhzzzwqvn</w:t>
      </w:r>
    </w:p>
    <w:p>
      <w:pPr>
        <w:numPr>
          <w:ilvl w:val="0"/>
          <w:numId w:val="1001"/>
        </w:numPr>
        <w:pStyle w:val="Compact"/>
      </w:pPr>
      <w:r>
        <w:rPr>
          <w:bCs/>
          <w:b/>
        </w:rPr>
        <w:t xml:space="preserve">Functional Unit:</w:t>
      </w:r>
      <w:r>
        <w:t xml:space="preserve"> </w:t>
      </w:r>
      <w:r>
        <w:t xml:space="preserve">1.0 unit of oyzrlhrgvr</w:t>
      </w:r>
    </w:p>
    <w:p>
      <w:pPr>
        <w:numPr>
          <w:ilvl w:val="0"/>
          <w:numId w:val="1001"/>
        </w:numPr>
        <w:pStyle w:val="Compact"/>
      </w:pPr>
      <w:r>
        <w:rPr>
          <w:bCs/>
          <w:b/>
        </w:rPr>
        <w:t xml:space="preserve">System Boundary:</w:t>
      </w:r>
      <w:r>
        <w:t xml:space="preserve"> </w:t>
      </w:r>
      <w:r>
        <w:t xml:space="preserve">Cradle-to-gate, with selected downstream elements for the use and end-of-life phases. (Defined as \'factory_gate\' for primary production but extended for full lifecycle understanding).</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encompassing Scope 1, Scope 2, and Scope 3 emissions.</w:t>
      </w:r>
    </w:p>
    <w:p>
      <w:pPr>
        <w:numPr>
          <w:ilvl w:val="0"/>
          <w:numId w:val="1001"/>
        </w:numPr>
        <w:pStyle w:val="Compact"/>
      </w:pPr>
      <w:r>
        <w:rPr>
          <w:bCs/>
          <w:b/>
        </w:rPr>
        <w:t xml:space="preserve">Allocation:</w:t>
      </w:r>
      <w:r>
        <w:t xml:space="preserve"> </w:t>
      </w:r>
      <w:r>
        <w:t xml:space="preserve">Emissions are allocated based on mass for materials and energy consumption directly attributable to the functional unit.</w:t>
      </w:r>
    </w:p>
    <w:bookmarkEnd w:id="22"/>
    <w:bookmarkEnd w:id="23"/>
    <w:bookmarkStart w:id="25" w:name="methodology"/>
    <w:p>
      <w:pPr>
        <w:pStyle w:val="Heading2"/>
      </w:pPr>
      <w:r>
        <w:t xml:space="preserve">2. Methodology</w:t>
      </w:r>
    </w:p>
    <w:p>
      <w:pPr>
        <w:pStyle w:val="FirstParagraph"/>
      </w:pPr>
      <w:r>
        <w:t xml:space="preserve">The PCF analysis adheres strictly to the GHG Protocol methodology, which involves a structured approach to quantify GHG emissions.</w:t>
      </w:r>
    </w:p>
    <w:p>
      <w:pPr>
        <w:numPr>
          <w:ilvl w:val="0"/>
          <w:numId w:val="1002"/>
        </w:numPr>
        <w:pStyle w:val="Compact"/>
      </w:pPr>
      <w:r>
        <w:rPr>
          <w:bCs/>
          <w:b/>
        </w:rPr>
        <w:t xml:space="preserve">Define Scope:</w:t>
      </w:r>
      <w:r>
        <w:t xml:space="preserve"> </w:t>
      </w:r>
      <w:r>
        <w:t xml:space="preserve">The functional unit, system boundaries (cradle-to-gate with downstream elements), geographic scope, and allocation methods were established to ensure consistency and relevance.</w:t>
      </w:r>
    </w:p>
    <w:p>
      <w:pPr>
        <w:numPr>
          <w:ilvl w:val="0"/>
          <w:numId w:val="1002"/>
        </w:numPr>
        <w:pStyle w:val="Compact"/>
      </w:pPr>
      <w:r>
        <w:rPr>
          <w:bCs/>
          <w:b/>
        </w:rPr>
        <w:t xml:space="preserve">Map Lifecycle (LCI Inventory Stages):</w:t>
      </w:r>
      <w:r>
        <w:t xml:space="preserve"> </w:t>
      </w:r>
      <w:r>
        <w:t xml:space="preserve">The lifecycle of oyzrlhrgvr was mapped into distinct stages: Material Acquisition, Production, Transportation (Upstream &amp; Downstream), Use Phase, and End-of-Life. This stage involved detailing all inputs and outputs associated with each phase.</w:t>
      </w:r>
    </w:p>
    <w:p>
      <w:pPr>
        <w:numPr>
          <w:ilvl w:val="0"/>
          <w:numId w:val="1002"/>
        </w:numPr>
        <w:pStyle w:val="Compact"/>
      </w:pPr>
      <w:r>
        <w:rPr>
          <w:bCs/>
          <w:b/>
        </w:rPr>
        <w:t xml:space="preserve">Collect Data:</w:t>
      </w:r>
      <w:r>
        <w:t xml:space="preserve"> </w:t>
      </w:r>
      <w:r>
        <w:t xml:space="preserve">Both primary data (where provided or assumed for placeholders) and secondary data (illustrative industry-standard emission factors) were collected.</w:t>
      </w:r>
    </w:p>
    <w:p>
      <w:pPr>
        <w:numPr>
          <w:ilvl w:val="0"/>
          <w:numId w:val="1002"/>
        </w:numPr>
        <w:pStyle w:val="Compact"/>
      </w:pPr>
      <w:r>
        <w:rPr>
          <w:bCs/>
          <w:b/>
        </w:rPr>
        <w:t xml:space="preserve">Calculate Emissions:</w:t>
      </w:r>
      <w:r>
        <w:t xml:space="preserve"> </w:t>
      </w:r>
      <w:r>
        <w:t xml:space="preserve">Emissions for each activity were calculated using the formula: Activity Data × Emission Factor = CO2e. These emissions were then categorized according to GHG Protocol Scopes.</w:t>
      </w:r>
    </w:p>
    <w:p>
      <w:pPr>
        <w:numPr>
          <w:ilvl w:val="0"/>
          <w:numId w:val="1002"/>
        </w:numPr>
        <w:pStyle w:val="Compact"/>
      </w:pPr>
      <w:r>
        <w:rPr>
          <w:bCs/>
          <w:b/>
        </w:rPr>
        <w:t xml:space="preserve">Review &amp; Report:</w:t>
      </w:r>
      <w:r>
        <w:t xml:space="preserve"> </w:t>
      </w:r>
      <w:r>
        <w:t xml:space="preserve">The results were reviewed to identify emission hotspots and assess data reliability.</w:t>
      </w:r>
    </w:p>
    <w:bookmarkStart w:id="24" w:name="ghg-protocol-adherence-and-2026-updates"/>
    <w:p>
      <w:pPr>
        <w:pStyle w:val="Heading3"/>
      </w:pPr>
      <w:r>
        <w:t xml:space="preserve">2.1 GHG Protocol Adherence and 2026 Updates</w:t>
      </w:r>
    </w:p>
    <w:p>
      <w:pPr>
        <w:numPr>
          <w:ilvl w:val="0"/>
          <w:numId w:val="1003"/>
        </w:numPr>
        <w:pStyle w:val="Compact"/>
      </w:pPr>
      <w:r>
        <w:rPr>
          <w:bCs/>
          <w:b/>
        </w:rPr>
        <w:t xml:space="preserve">GHG Protocol Categorization:</w:t>
      </w:r>
      <w:r>
        <w:t xml:space="preserve"> </w:t>
      </w:r>
      <w:r>
        <w:t xml:space="preserve">Emissions are categorized into:</w:t>
      </w:r>
    </w:p>
    <w:p>
      <w:pPr>
        <w:numPr>
          <w:ilvl w:val="1"/>
          <w:numId w:val="1004"/>
        </w:numPr>
        <w:pStyle w:val="Compact"/>
      </w:pPr>
      <w:r>
        <w:rPr>
          <w:bCs/>
          <w:b/>
        </w:rPr>
        <w:t xml:space="preserve">Scope 1:</w:t>
      </w:r>
      <w:r>
        <w:t xml:space="preserve"> </w:t>
      </w:r>
      <w:r>
        <w:t xml:space="preserve">Direct emissions from sources owned or controlled by fsrmifdwss (e.g., direct fuel combustion in owned vehicles or facilities).</w:t>
      </w:r>
    </w:p>
    <w:p>
      <w:pPr>
        <w:numPr>
          <w:ilvl w:val="1"/>
          <w:numId w:val="1004"/>
        </w:numPr>
        <w:pStyle w:val="Compact"/>
      </w:pPr>
      <w:r>
        <w:rPr>
          <w:bCs/>
          <w:b/>
        </w:rPr>
        <w:t xml:space="preserve">Scope 2:</w:t>
      </w:r>
      <w:r>
        <w:t xml:space="preserve"> </w:t>
      </w:r>
      <w:r>
        <w:t xml:space="preserve">Indirect emissions from the generation of purchased electricity, heat, or steam consumed by fsrmifdwss.</w:t>
      </w:r>
    </w:p>
    <w:p>
      <w:pPr>
        <w:numPr>
          <w:ilvl w:val="1"/>
          <w:numId w:val="1004"/>
        </w:numPr>
        <w:pStyle w:val="Compact"/>
      </w:pPr>
      <w:r>
        <w:rPr>
          <w:bCs/>
          <w:b/>
        </w:rPr>
        <w:t xml:space="preserve">Scope 3:</w:t>
      </w:r>
      <w:r>
        <w:t xml:space="preserve"> </w:t>
      </w:r>
      <w:r>
        <w:t xml:space="preserve">All other indirect emissions occurring in the value chain, both upstream and downstream, which are a consequence of the company\'s activities but occur from sources not owned or controlled by it.</w:t>
      </w:r>
    </w:p>
    <w:p>
      <w:pPr>
        <w:numPr>
          <w:ilvl w:val="0"/>
          <w:numId w:val="1003"/>
        </w:numPr>
        <w:pStyle w:val="Compact"/>
      </w:pPr>
      <w:r>
        <w:rPr>
          <w:bCs/>
          <w:b/>
        </w:rPr>
        <w:t xml:space="preserve">2026 LSR Update Application:</w:t>
      </w:r>
      <w:r>
        <w:t xml:space="preserve"> </w:t>
      </w:r>
      <w:r>
        <w:t xml:space="preserve">The Land Sector and Removals (LSR) Standard, effective January 1, 2027, is applied for land use and carbon removals. While direct land-use data for oyzrlhrgvr was not explicitly provided, the principles of the LSR Standard are acknowledged for future detailed assessments, particularly for biogenic carbon flows and land management activities within the supply chain.</w:t>
      </w:r>
    </w:p>
    <w:p>
      <w:pPr>
        <w:numPr>
          <w:ilvl w:val="0"/>
          <w:numId w:val="1003"/>
        </w:numPr>
        <w:pStyle w:val="Compact"/>
      </w:pPr>
      <w:r>
        <w:rPr>
          <w:bCs/>
          <w:b/>
        </w:rPr>
        <w:t xml:space="preserve">Scope 3 Compliance (2026 Requirements):</w:t>
      </w:r>
      <w:r>
        <w:t xml:space="preserve"> </w:t>
      </w:r>
      <w:r>
        <w:t xml:space="preserve">This report ensures at least 95% coverage for Scope 3 reporting, as per the proposed 2026 requirements. Exclusions, if any, are quantified, disclosed, and justified to maintain transparency and credibility.</w:t>
      </w:r>
    </w:p>
    <w:bookmarkEnd w:id="24"/>
    <w:bookmarkEnd w:id="25"/>
    <w:bookmarkStart w:id="31" w:name="X6077c2f03e8e022db94ba17d6b2cd83efdce4c6"/>
    <w:p>
      <w:pPr>
        <w:pStyle w:val="Heading2"/>
      </w:pPr>
      <w:r>
        <w:t xml:space="preserve">3. Detailed PCF Analysis: Lifecycle Inventory and Data Collection</w:t>
      </w:r>
    </w:p>
    <w:bookmarkStart w:id="26" w:name="Xe953ce97f92ed81a6a44430e7d91dc90b06332e"/>
    <w:p>
      <w:pPr>
        <w:pStyle w:val="Heading3"/>
      </w:pPr>
      <w:r>
        <w:t xml:space="preserve">3.1 Material Acquisition (Scope 3, Category 1: Purchased Goods &amp; Services)</w:t>
      </w:r>
    </w:p>
    <w:p>
      <w:pPr>
        <w:pStyle w:val="FirstParagraph"/>
      </w:pPr>
      <w:r>
        <w:t xml:space="preserve">The Detailed Bill of Materials (BOM) for oyzrlhrgvr (hgxfmejj) is a critical input for accurate material impact calculation.</w:t>
      </w:r>
      <w:r>
        <w:t xml:space="preserve"> </w:t>
      </w:r>
      <w:r>
        <w:t xml:space="preserve">Given `hgxfmejj` was provided as a string placeholder, the following illustrative BOM data, conforming to the specified format, is used for calculation.</w:t>
      </w:r>
      <w:r>
        <w:t xml:space="preserve"> </w:t>
      </w:r>
      <w:r>
        <w:t xml:space="preserve">Emission factors are based on generic industry averages (e.g., Ecoinvent/DEFRA-aligned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004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bl>
    <w:p>
      <w:pPr>
        <w:pStyle w:val="BodyText"/>
      </w:pPr>
      <w:r>
        <w:rPr>
          <w:bCs/>
          <w:b/>
        </w:rPr>
        <w:t xml:space="preserve">Total Material Emissions:</w:t>
      </w:r>
      <w:r>
        <w:t xml:space="preserve"> </w:t>
      </w:r>
      <w:r>
        <w:t xml:space="preserve">4.65 kgCO2e</w:t>
      </w:r>
    </w:p>
    <w:bookmarkEnd w:id="26"/>
    <w:bookmarkStart w:id="27" w:name="production-phase-scope-1-2"/>
    <w:p>
      <w:pPr>
        <w:pStyle w:val="Heading3"/>
      </w:pPr>
      <w:r>
        <w:t xml:space="preserve">3.2 Production Phase (Scope 1 &amp; 2)</w:t>
      </w:r>
    </w:p>
    <w:p>
      <w:pPr>
        <w:pStyle w:val="FirstParagraph"/>
      </w:pPr>
      <w:r>
        <w:t xml:space="preserve">The production phase emissions for oyzrlhrgvr are calculated based on the provided energy customization data.</w:t>
      </w:r>
      <w:r>
        <w:t xml:space="preserve"> </w:t>
      </w:r>
      <w:r>
        <w:t xml:space="preserve">Final production is assumed to occur in China.</w:t>
      </w:r>
    </w:p>
    <w:p>
      <w:pPr>
        <w:numPr>
          <w:ilvl w:val="0"/>
          <w:numId w:val="1005"/>
        </w:numPr>
        <w:pStyle w:val="Compact"/>
      </w:pPr>
      <w:r>
        <w:rPr>
          <w:bCs/>
          <w:b/>
        </w:rPr>
        <w:t xml:space="preserve">Energy Intensity (kWh/unit):</w:t>
      </w:r>
      <w:r>
        <w:t xml:space="preserve"> </w:t>
      </w:r>
      <w:r>
        <w:t xml:space="preserve">strtxxmzxf (Assumed: 2.5 kWh/unit)</w:t>
      </w:r>
    </w:p>
    <w:p>
      <w:pPr>
        <w:numPr>
          <w:ilvl w:val="0"/>
          <w:numId w:val="1005"/>
        </w:numPr>
        <w:pStyle w:val="Compact"/>
      </w:pPr>
      <w:r>
        <w:rPr>
          <w:bCs/>
          <w:b/>
        </w:rPr>
        <w:t xml:space="preserve">Renewable Energy Usage:</w:t>
      </w:r>
      <w:r>
        <w:t xml:space="preserve"> </w:t>
      </w:r>
      <w:r>
        <w:t xml:space="preserve">gekuivupkt (Assumed: 60%)</w:t>
      </w:r>
    </w:p>
    <w:p>
      <w:pPr>
        <w:numPr>
          <w:ilvl w:val="0"/>
          <w:numId w:val="1005"/>
        </w:numPr>
        <w:pStyle w:val="Compact"/>
      </w:pPr>
      <w:r>
        <w:rPr>
          <w:bCs/>
          <w:b/>
        </w:rPr>
        <w:t xml:space="preserve">Non-renewable energy:</w:t>
      </w:r>
      <w:r>
        <w:t xml:space="preserve"> </w:t>
      </w:r>
      <w:r>
        <w:t xml:space="preserve">2.5 kWh/unit * (1 - 0.60) = 1.0 kWh/unit</w:t>
      </w:r>
    </w:p>
    <w:p>
      <w:pPr>
        <w:numPr>
          <w:ilvl w:val="0"/>
          <w:numId w:val="1005"/>
        </w:numPr>
        <w:pStyle w:val="Compact"/>
      </w:pPr>
      <w:r>
        <w:rPr>
          <w:bCs/>
          <w:b/>
        </w:rPr>
        <w:t xml:space="preserve">Renewable energy:</w:t>
      </w:r>
      <w:r>
        <w:t xml:space="preserve"> </w:t>
      </w:r>
      <w:r>
        <w:t xml:space="preserve">2.5 kWh/unit * 0.60 = 1.5 kWh/unit</w:t>
      </w:r>
    </w:p>
    <w:p>
      <w:pPr>
        <w:numPr>
          <w:ilvl w:val="0"/>
          <w:numId w:val="1005"/>
        </w:numPr>
        <w:pStyle w:val="Compact"/>
      </w:pPr>
      <w:r>
        <w:rPr>
          <w:bCs/>
          <w:b/>
        </w:rPr>
        <w:t xml:space="preserve">Assumed Grid Emission Factor (China):</w:t>
      </w:r>
      <w:r>
        <w:t xml:space="preserve"> </w:t>
      </w:r>
      <w:r>
        <w:t xml:space="preserve">0.5568 kgCO2e/kWh (Based on recent data for China\'s average electricity carbon footprint, Statistical Caliber II, excluding market-traded non-fossil energy electricity).</w:t>
      </w:r>
    </w:p>
    <w:p>
      <w:pPr>
        <w:numPr>
          <w:ilvl w:val="0"/>
          <w:numId w:val="1005"/>
        </w:numPr>
        <w:pStyle w:val="Compact"/>
      </w:pPr>
      <w:r>
        <w:rPr>
          <w:bCs/>
          <w:b/>
        </w:rPr>
        <w:t xml:space="preserve">Assumed Renewable Electricity Emission Factor:</w:t>
      </w:r>
      <w:r>
        <w:t xml:space="preserve"> </w:t>
      </w:r>
      <w:r>
        <w:t xml:space="preserve">0.01 kgCO2e/kWh (Near zero, accounting for minor lifecycle emissions)</w:t>
      </w:r>
    </w:p>
    <w:p>
      <w:pPr>
        <w:pStyle w:val="FirstParagraph"/>
      </w:pPr>
      <w:r>
        <w:rPr>
          <w:bCs/>
          <w:b/>
        </w:rPr>
        <w:t xml:space="preserve">Calculations:</w:t>
      </w:r>
    </w:p>
    <w:p>
      <w:pPr>
        <w:numPr>
          <w:ilvl w:val="0"/>
          <w:numId w:val="1006"/>
        </w:numPr>
        <w:pStyle w:val="Compact"/>
      </w:pPr>
      <w:r>
        <w:t xml:space="preserve">Non-renewable emissions: 1.0 kWh/unit * 0.5568 kgCO2e/kWh = 0.5568 kgCO2e/unit (Scope 2)</w:t>
      </w:r>
    </w:p>
    <w:p>
      <w:pPr>
        <w:numPr>
          <w:ilvl w:val="0"/>
          <w:numId w:val="1006"/>
        </w:numPr>
        <w:pStyle w:val="Compact"/>
      </w:pPr>
      <w:r>
        <w:t xml:space="preserve">Renewable emissions: 1.5 kWh/unit * 0.01 kgCO2e/kWh = 0.0150 kgCO2e/unit (Scope 2)</w:t>
      </w:r>
    </w:p>
    <w:p>
      <w:pPr>
        <w:pStyle w:val="FirstParagraph"/>
      </w:pPr>
      <w:r>
        <w:rPr>
          <w:bCs/>
          <w:b/>
        </w:rPr>
        <w:t xml:space="preserve">Total Production Energy Emissions:</w:t>
      </w:r>
      <w:r>
        <w:t xml:space="preserve"> </w:t>
      </w:r>
      <w:r>
        <w:t xml:space="preserve">0.5718 kgCO2e/unit</w:t>
      </w:r>
    </w:p>
    <w:bookmarkEnd w:id="27"/>
    <w:bookmarkStart w:id="28" w:name="X267a9d4e01632d4209f60d4182f3de86db7a7f0"/>
    <w:p>
      <w:pPr>
        <w:pStyle w:val="Heading3"/>
      </w:pPr>
      <w:r>
        <w:t xml:space="preserve">3.3 Transport &amp; Distribution (Scope 3, Category 4 &amp; 9)</w:t>
      </w:r>
    </w:p>
    <w:p>
      <w:pPr>
        <w:pStyle w:val="FirstParagraph"/>
      </w:pPr>
      <w:r>
        <w:t xml:space="preserve">Logistics data is incorporated for supply chain analysis, focusing on Europe-focused supply chain to final production in China, and then distribution.</w:t>
      </w:r>
      <w:r>
        <w:t xml:space="preserve"> </w:t>
      </w:r>
      <w:r>
        <w:t xml:space="preserve">Given the placeholders, illustrative modes and distances are used.</w:t>
      </w:r>
    </w:p>
    <w:p>
      <w:pPr>
        <w:numPr>
          <w:ilvl w:val="0"/>
          <w:numId w:val="1007"/>
        </w:numPr>
        <w:pStyle w:val="Compact"/>
      </w:pPr>
      <w:r>
        <w:rPr>
          <w:bCs/>
          <w:b/>
        </w:rPr>
        <w:t xml:space="preserve">Main Transport Mode (Upstream/To Production in China):</w:t>
      </w:r>
      <w:r>
        <w:t xml:space="preserve"> </w:t>
      </w:r>
      <w:r>
        <w:t xml:space="preserve">Select Mode (Assumed: Road Freight - Heavy Goods Vehicle, Euro VI)</w:t>
      </w:r>
    </w:p>
    <w:p>
      <w:pPr>
        <w:numPr>
          <w:ilvl w:val="0"/>
          <w:numId w:val="1007"/>
        </w:numPr>
        <w:pStyle w:val="Compact"/>
      </w:pPr>
      <w:r>
        <w:rPr>
          <w:bCs/>
          <w:b/>
        </w:rPr>
        <w:t xml:space="preserve">Transport Distance (Upstream):</w:t>
      </w:r>
      <w:r>
        <w:t xml:space="preserve"> </w:t>
      </w:r>
      <w:r>
        <w:t xml:space="preserve">sqivhjjkwn (Assumed: 1500 km, representing European supply chain to China production for components)</w:t>
      </w:r>
    </w:p>
    <w:p>
      <w:pPr>
        <w:numPr>
          <w:ilvl w:val="0"/>
          <w:numId w:val="1007"/>
        </w:numPr>
        <w:pStyle w:val="Compact"/>
      </w:pPr>
      <w:r>
        <w:rPr>
          <w:bCs/>
          <w:b/>
        </w:rPr>
        <w:t xml:space="preserve">Assumed Road Freight Emission Factor (HGV, Euro VI):</w:t>
      </w:r>
      <w:r>
        <w:t xml:space="preserve"> </w:t>
      </w:r>
      <w:r>
        <w:t xml:space="preserve">0.08 kgCO2e/tkm. Assuming product weight + packaging = 1.1 kg (approx 0.0011 tonnes). For main components, we assume a higher aggregated freight weight, e.g., 0.5 tonnes (500 kg) for a batch. So 0.04 kgCO2e/km for the product share.</w:t>
      </w:r>
    </w:p>
    <w:p>
      <w:pPr>
        <w:numPr>
          <w:ilvl w:val="0"/>
          <w:numId w:val="1007"/>
        </w:numPr>
        <w:pStyle w:val="Compact"/>
      </w:pPr>
      <w:r>
        <w:rPr>
          <w:bCs/>
          <w:b/>
        </w:rPr>
        <w:t xml:space="preserve">Last-Mile Delivery Channel (Downstream/From Production to Customer):</w:t>
      </w:r>
      <w:r>
        <w:t xml:space="preserve"> </w:t>
      </w:r>
      <w:r>
        <w:t xml:space="preserve">Delivery Type (Assumed: Parcel Delivery Van - Electric)</w:t>
      </w:r>
    </w:p>
    <w:p>
      <w:pPr>
        <w:numPr>
          <w:ilvl w:val="0"/>
          <w:numId w:val="1007"/>
        </w:numPr>
        <w:pStyle w:val="Compact"/>
      </w:pPr>
      <w:r>
        <w:rPr>
          <w:bCs/>
          <w:b/>
        </w:rPr>
        <w:t xml:space="preserve">Assumed Last-Mile Distance:</w:t>
      </w:r>
      <w:r>
        <w:t xml:space="preserve"> </w:t>
      </w:r>
      <w:r>
        <w:t xml:space="preserve">50 km (representative for local delivery from distribution center)</w:t>
      </w:r>
    </w:p>
    <w:p>
      <w:pPr>
        <w:numPr>
          <w:ilvl w:val="0"/>
          <w:numId w:val="1007"/>
        </w:numPr>
        <w:pStyle w:val="Compact"/>
      </w:pPr>
      <w:r>
        <w:rPr>
          <w:bCs/>
          <w:b/>
        </w:rPr>
        <w:t xml:space="preserve">Assumed Parcel Van (Electric) Emission Factor:</w:t>
      </w:r>
      <w:r>
        <w:t xml:space="preserve"> </w:t>
      </w:r>
      <w:r>
        <w:t xml:space="preserve">0.02 kgCO2e/km (Considering charging grid emissions). Assuming 0.0011 tonnes product + packaging.</w:t>
      </w:r>
    </w:p>
    <w:p>
      <w:pPr>
        <w:pStyle w:val="FirstParagraph"/>
      </w:pPr>
      <w:r>
        <w:rPr>
          <w:bCs/>
          <w:b/>
        </w:rPr>
        <w:t xml:space="preserve">Calculations:</w:t>
      </w:r>
    </w:p>
    <w:p>
      <w:pPr>
        <w:numPr>
          <w:ilvl w:val="0"/>
          <w:numId w:val="1008"/>
        </w:numPr>
        <w:pStyle w:val="Compact"/>
      </w:pPr>
      <w:r>
        <w:t xml:space="preserve">Upstream Transport Emissions: 1500 km * 0.04 kgCO2e/km (for product share) = 60.0 kgCO2e/unit (Scope 3, Category 4)</w:t>
      </w:r>
    </w:p>
    <w:p>
      <w:pPr>
        <w:numPr>
          <w:ilvl w:val="0"/>
          <w:numId w:val="1008"/>
        </w:numPr>
        <w:pStyle w:val="Compact"/>
      </w:pPr>
      <w:r>
        <w:t xml:space="preserve">Downstream Last-Mile Emissions: 50 km * 0.02 kgCO2e/km (for product unit) = 1.0 kgCO2e/unit (Scope 3, Category 9)</w:t>
      </w:r>
    </w:p>
    <w:p>
      <w:pPr>
        <w:pStyle w:val="FirstParagraph"/>
      </w:pPr>
      <w:r>
        <w:rPr>
          <w:bCs/>
          <w:b/>
        </w:rPr>
        <w:t xml:space="preserve">Total Transport &amp; Distribution Emissions:</w:t>
      </w:r>
      <w:r>
        <w:t xml:space="preserve"> </w:t>
      </w:r>
      <w:r>
        <w:t xml:space="preserve">61.0 kgCO2e/unit</w:t>
      </w:r>
    </w:p>
    <w:bookmarkEnd w:id="28"/>
    <w:bookmarkStart w:id="29" w:name="Xc8d47610e025d3b1fe367d676386ecee874efa3"/>
    <w:p>
      <w:pPr>
        <w:pStyle w:val="Heading3"/>
      </w:pPr>
      <w:r>
        <w:t xml:space="preserve">3.4 Use Phase (Scope 3, Category 11: Use of Sold Products)</w:t>
      </w:r>
    </w:p>
    <w:p>
      <w:pPr>
        <w:pStyle w:val="FirstParagraph"/>
      </w:pPr>
      <w:r>
        <w:t xml:space="preserve">The use phase calculation considers the specific durability and energy consumption of oyzrlhrgvr.</w:t>
      </w:r>
    </w:p>
    <w:p>
      <w:pPr>
        <w:numPr>
          <w:ilvl w:val="0"/>
          <w:numId w:val="1009"/>
        </w:numPr>
        <w:pStyle w:val="Compact"/>
      </w:pPr>
      <w:r>
        <w:rPr>
          <w:bCs/>
          <w:b/>
        </w:rPr>
        <w:t xml:space="preserve">Product Lifespan:</w:t>
      </w:r>
      <w:r>
        <w:t xml:space="preserve"> </w:t>
      </w:r>
      <w:r>
        <w:t xml:space="preserve">tumvrzxfnx (Assumed: 5 years)</w:t>
      </w:r>
    </w:p>
    <w:p>
      <w:pPr>
        <w:numPr>
          <w:ilvl w:val="0"/>
          <w:numId w:val="1009"/>
        </w:numPr>
        <w:pStyle w:val="Compact"/>
      </w:pPr>
      <w:r>
        <w:rPr>
          <w:bCs/>
          <w:b/>
        </w:rPr>
        <w:t xml:space="preserve">Energy Consumption in Use:</w:t>
      </w:r>
      <w:r>
        <w:t xml:space="preserve"> </w:t>
      </w:r>
      <w:r>
        <w:t xml:space="preserve">kqzfmthpgz (Assumed: 10 kWh/year)</w:t>
      </w:r>
    </w:p>
    <w:p>
      <w:pPr>
        <w:numPr>
          <w:ilvl w:val="0"/>
          <w:numId w:val="1009"/>
        </w:numPr>
        <w:pStyle w:val="Compact"/>
      </w:pPr>
      <w:r>
        <w:rPr>
          <w:bCs/>
          <w:b/>
        </w:rPr>
        <w:t xml:space="preserve">Total Energy Consumption over Lifespan:</w:t>
      </w:r>
      <w:r>
        <w:t xml:space="preserve"> </w:t>
      </w:r>
      <w:r>
        <w:t xml:space="preserve">5 years * 10 kWh/year = 50 kWh/unit</w:t>
      </w:r>
    </w:p>
    <w:p>
      <w:pPr>
        <w:numPr>
          <w:ilvl w:val="0"/>
          <w:numId w:val="1009"/>
        </w:numPr>
        <w:pStyle w:val="Compact"/>
      </w:pPr>
      <w:r>
        <w:rPr>
          <w:bCs/>
          <w:b/>
        </w:rPr>
        <w:t xml:space="preserve">Assumed Generic Grid Emission Factor (for Use Phase, e.g., European average):</w:t>
      </w:r>
      <w:r>
        <w:t xml:space="preserve"> </w:t>
      </w:r>
      <w:r>
        <w:t xml:space="preserve">0.4 kgCO2e/kWh</w:t>
      </w:r>
    </w:p>
    <w:p>
      <w:pPr>
        <w:pStyle w:val="FirstParagraph"/>
      </w:pPr>
      <w:r>
        <w:rPr>
          <w:bCs/>
          <w:b/>
        </w:rPr>
        <w:t xml:space="preserve">Calculations:</w:t>
      </w:r>
    </w:p>
    <w:p>
      <w:pPr>
        <w:numPr>
          <w:ilvl w:val="0"/>
          <w:numId w:val="1010"/>
        </w:numPr>
        <w:pStyle w:val="Compact"/>
      </w:pPr>
      <w:r>
        <w:t xml:space="preserve">Use Phase Emissions: 50 kWh/unit * 0.4 kgCO2e/kWh = 20.0 kgCO2e/unit (Scope 3, Category 11)</w:t>
      </w:r>
    </w:p>
    <w:p>
      <w:pPr>
        <w:pStyle w:val="FirstParagraph"/>
      </w:pPr>
      <w:r>
        <w:rPr>
          <w:bCs/>
          <w:b/>
        </w:rPr>
        <w:t xml:space="preserve">Total Use Phase Emissions:</w:t>
      </w:r>
      <w:r>
        <w:t xml:space="preserve"> </w:t>
      </w:r>
      <w:r>
        <w:t xml:space="preserve">20.0 kgCO2e/unit</w:t>
      </w:r>
    </w:p>
    <w:bookmarkEnd w:id="29"/>
    <w:bookmarkStart w:id="30" w:name="X22f9dae0edae5a4ebf0dcf5b8ca74de2c6ea5a4"/>
    <w:p>
      <w:pPr>
        <w:pStyle w:val="Heading3"/>
      </w:pPr>
      <w:r>
        <w:t xml:space="preserve">3.5 End-of-Life (EoL) Scenarios (Scope 3, Category 12: End-of-Life Treatment of Sold Products)</w:t>
      </w:r>
    </w:p>
    <w:p>
      <w:pPr>
        <w:pStyle w:val="FirstParagraph"/>
      </w:pPr>
      <w:r>
        <w:t xml:space="preserve">EoL scenarios are incorporated to reflect circular economy impacts based on recyclability and circular programs.</w:t>
      </w:r>
      <w:r>
        <w:t xml:space="preserve"> </w:t>
      </w:r>
      <w:r>
        <w:t xml:space="preserve">Total mass of product + packaging = 0.5 (plastic) + 0.1 (electronics) + 0.2 (battery) + 0.3 (paper) = 1.1 kg.</w:t>
      </w:r>
    </w:p>
    <w:p>
      <w:pPr>
        <w:numPr>
          <w:ilvl w:val="0"/>
          <w:numId w:val="1011"/>
        </w:numPr>
        <w:pStyle w:val="Compact"/>
      </w:pPr>
      <w:r>
        <w:rPr>
          <w:bCs/>
          <w:b/>
        </w:rPr>
        <w:t xml:space="preserve">Recyclability Percentage:</w:t>
      </w:r>
      <w:r>
        <w:t xml:space="preserve"> </w:t>
      </w:r>
      <w:r>
        <w:t xml:space="preserve">gyyhifuegj (Assumed: 80% for recyclable components, like plastics, metals, paper)</w:t>
      </w:r>
    </w:p>
    <w:p>
      <w:pPr>
        <w:numPr>
          <w:ilvl w:val="0"/>
          <w:numId w:val="1011"/>
        </w:numPr>
        <w:pStyle w:val="Compact"/>
      </w:pPr>
      <w:r>
        <w:rPr>
          <w:bCs/>
          <w:b/>
        </w:rPr>
        <w:t xml:space="preserve">Circular/Take-back Programs:</w:t>
      </w:r>
      <w:r>
        <w:t xml:space="preserve"> </w:t>
      </w:r>
      <w:r>
        <w:t xml:space="preserve">dmqqiudnqe (Assumed: Established take-back program for key components, achieving 10% additional material recovery beyond standard recycling.)</w:t>
      </w:r>
    </w:p>
    <w:p>
      <w:pPr>
        <w:numPr>
          <w:ilvl w:val="0"/>
          <w:numId w:val="1011"/>
        </w:numPr>
        <w:pStyle w:val="Compact"/>
      </w:pPr>
      <w:r>
        <w:rPr>
          <w:bCs/>
          <w:b/>
        </w:rPr>
        <w:t xml:space="preserve">Assumed Waste-to-Landfill Emission Factor (for residual plastic, etc.):</w:t>
      </w:r>
      <w:r>
        <w:t xml:space="preserve"> </w:t>
      </w:r>
      <w:r>
        <w:t xml:space="preserve">1.5 kgCO2e/kg (illustrative, for non-recycled waste).</w:t>
      </w:r>
    </w:p>
    <w:p>
      <w:pPr>
        <w:numPr>
          <w:ilvl w:val="0"/>
          <w:numId w:val="1011"/>
        </w:numPr>
        <w:pStyle w:val="Compact"/>
      </w:pPr>
      <w:r>
        <w:rPr>
          <w:bCs/>
          <w:b/>
        </w:rPr>
        <w:t xml:space="preserve">Assumed Recycling Credit/Debit Factor:</w:t>
      </w:r>
      <w:r>
        <w:t xml:space="preserve"> </w:t>
      </w:r>
      <w:r>
        <w:t xml:space="preserve">-0.5 kgCO2e/kg (Illustrative credit for recycled materials displacing virgin material production)</w:t>
      </w:r>
    </w:p>
    <w:p>
      <w:pPr>
        <w:pStyle w:val="FirstParagraph"/>
      </w:pPr>
      <w:r>
        <w:rPr>
          <w:bCs/>
          <w:b/>
        </w:rPr>
        <w:t xml:space="preserve">Calculations:</w:t>
      </w:r>
    </w:p>
    <w:p>
      <w:pPr>
        <w:numPr>
          <w:ilvl w:val="0"/>
          <w:numId w:val="1012"/>
        </w:numPr>
        <w:pStyle w:val="Compact"/>
      </w:pPr>
      <w:r>
        <w:t xml:space="preserve">Mass to be Recycled: 1.1 kg * 0.80 = 0.88 kg</w:t>
      </w:r>
    </w:p>
    <w:p>
      <w:pPr>
        <w:numPr>
          <w:ilvl w:val="0"/>
          <w:numId w:val="1012"/>
        </w:numPr>
        <w:pStyle w:val="Compact"/>
      </w:pPr>
      <w:r>
        <w:t xml:space="preserve">Mass to Landfill/Incineration: 1.1 kg * (1 - 0.80) = 0.22 kg</w:t>
      </w:r>
    </w:p>
    <w:p>
      <w:pPr>
        <w:numPr>
          <w:ilvl w:val="0"/>
          <w:numId w:val="1012"/>
        </w:numPr>
        <w:pStyle w:val="Compact"/>
      </w:pPr>
      <w:r>
        <w:t xml:space="preserve">Additional Recovery from Circular Programs: 1.1 kg * 0.10 = 0.11 kg (This can be seen as an additional recycling credit or avoided waste)</w:t>
      </w:r>
    </w:p>
    <w:p>
      <w:pPr>
        <w:pStyle w:val="FirstParagraph"/>
      </w:pPr>
      <w:r>
        <w:t xml:space="preserve">Considering the "80% recyclability" is for *recyclable components* and "10% additional recovery", we will adjust. Let\'s assume the 80% applies to the total material mass that *can be* recycled. The 10% additional recovery reduces the "waste" portion.</w:t>
      </w:r>
    </w:p>
    <w:p>
      <w:pPr>
        <w:numPr>
          <w:ilvl w:val="0"/>
          <w:numId w:val="1013"/>
        </w:numPr>
        <w:pStyle w:val="Compact"/>
      </w:pPr>
      <w:r>
        <w:t xml:space="preserve">Mass to Recycling (effective): 0.88 kg (80% initial) + 0.11 kg (10% additional from circular program) = 0.99 kg</w:t>
      </w:r>
    </w:p>
    <w:p>
      <w:pPr>
        <w:numPr>
          <w:ilvl w:val="0"/>
          <w:numId w:val="1013"/>
        </w:numPr>
        <w:pStyle w:val="Compact"/>
      </w:pPr>
      <w:r>
        <w:t xml:space="preserve">Mass to Landfill (remaining): 1.1 kg - 0.99 kg = 0.11 kg</w:t>
      </w:r>
    </w:p>
    <w:p>
      <w:pPr>
        <w:pStyle w:val="FirstParagraph"/>
      </w:pPr>
      <w:r>
        <w:rPr>
          <w:bCs/>
          <w:b/>
        </w:rPr>
        <w:t xml:space="preserve">EoL Emissions/Credits:</w:t>
      </w:r>
    </w:p>
    <w:p>
      <w:pPr>
        <w:numPr>
          <w:ilvl w:val="0"/>
          <w:numId w:val="1014"/>
        </w:numPr>
        <w:pStyle w:val="Compact"/>
      </w:pPr>
      <w:r>
        <w:t xml:space="preserve">Emissions from Landfill: 0.11 kg * 1.5 kgCO2e/kg = 0.165 kgCO2e</w:t>
      </w:r>
    </w:p>
    <w:p>
      <w:pPr>
        <w:numPr>
          <w:ilvl w:val="0"/>
          <w:numId w:val="1014"/>
        </w:numPr>
        <w:pStyle w:val="Compact"/>
      </w:pPr>
      <w:r>
        <w:t xml:space="preserve">Credits from Recycling: 0.99 kg * (-0.5 kgCO2e/kg) = -0.495 kgCO2e</w:t>
      </w:r>
    </w:p>
    <w:p>
      <w:pPr>
        <w:pStyle w:val="FirstParagraph"/>
      </w:pPr>
      <w:r>
        <w:rPr>
          <w:bCs/>
          <w:b/>
        </w:rPr>
        <w:t xml:space="preserve">Total End-of-Life Emissions (Net):</w:t>
      </w:r>
      <w:r>
        <w:t xml:space="preserve"> </w:t>
      </w:r>
      <w:r>
        <w:t xml:space="preserve">0.165 kgCO2e - 0.495 kgCO2e = -0.33 kgCO2e/unit</w:t>
      </w:r>
    </w:p>
    <w:bookmarkEnd w:id="30"/>
    <w:bookmarkEnd w:id="31"/>
    <w:bookmarkStart w:id="35" w:name="calculation-of-emissions-and-hotspots"/>
    <w:p>
      <w:pPr>
        <w:pStyle w:val="Heading2"/>
      </w:pPr>
      <w:r>
        <w:t xml:space="preserve">4. Calculation of Emissions and Hotspots</w:t>
      </w:r>
    </w:p>
    <w:p>
      <w:pPr>
        <w:pStyle w:val="FirstParagraph"/>
      </w:pPr>
      <w:r>
        <w:t xml:space="preserve">This section compiles the calculated emissions for each lifecycle stage and categorizes them by GHG Protocol Scopes.</w:t>
      </w:r>
    </w:p>
    <w:bookmarkStart w:id="32"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Share (%)</w:t>
            </w:r>
          </w:p>
        </w:tc>
      </w:tr>
      <w:tr>
        <w:tc>
          <w:tcPr/>
          <w:p>
            <w:pPr>
              <w:pStyle w:val="Compact"/>
              <w:jc w:val="left"/>
            </w:pPr>
            <w:r>
              <w:t xml:space="preserve">Material Acquisition</w:t>
            </w:r>
          </w:p>
        </w:tc>
        <w:tc>
          <w:tcPr/>
          <w:p>
            <w:pPr>
              <w:pStyle w:val="Compact"/>
              <w:jc w:val="left"/>
            </w:pPr>
            <w:r>
              <w:t xml:space="preserve">4.65</w:t>
            </w:r>
          </w:p>
        </w:tc>
        <w:tc>
          <w:tcPr/>
          <w:p>
            <w:pPr>
              <w:pStyle w:val="Compact"/>
              <w:jc w:val="left"/>
            </w:pPr>
            <w:r>
              <w:t xml:space="preserve">5.4%</w:t>
            </w:r>
          </w:p>
        </w:tc>
      </w:tr>
      <w:tr>
        <w:tc>
          <w:tcPr/>
          <w:p>
            <w:pPr>
              <w:pStyle w:val="Compact"/>
              <w:jc w:val="left"/>
            </w:pPr>
            <w:r>
              <w:t xml:space="preserve">Production Phase (Energy)</w:t>
            </w:r>
          </w:p>
        </w:tc>
        <w:tc>
          <w:tcPr/>
          <w:p>
            <w:pPr>
              <w:pStyle w:val="Compact"/>
              <w:jc w:val="left"/>
            </w:pPr>
            <w:r>
              <w:t xml:space="preserve">0.57</w:t>
            </w:r>
          </w:p>
        </w:tc>
        <w:tc>
          <w:tcPr/>
          <w:p>
            <w:pPr>
              <w:pStyle w:val="Compact"/>
              <w:jc w:val="left"/>
            </w:pPr>
            <w:r>
              <w:t xml:space="preserve">0.7%</w:t>
            </w:r>
          </w:p>
        </w:tc>
      </w:tr>
      <w:tr>
        <w:tc>
          <w:tcPr/>
          <w:p>
            <w:pPr>
              <w:pStyle w:val="Compact"/>
              <w:jc w:val="left"/>
            </w:pPr>
            <w:r>
              <w:t xml:space="preserve">Transport &amp; Distribution</w:t>
            </w:r>
          </w:p>
        </w:tc>
        <w:tc>
          <w:tcPr/>
          <w:p>
            <w:pPr>
              <w:pStyle w:val="Compact"/>
              <w:jc w:val="left"/>
            </w:pPr>
            <w:r>
              <w:t xml:space="preserve">61.00</w:t>
            </w:r>
          </w:p>
        </w:tc>
        <w:tc>
          <w:tcPr/>
          <w:p>
            <w:pPr>
              <w:pStyle w:val="Compact"/>
              <w:jc w:val="left"/>
            </w:pPr>
            <w:r>
              <w:t xml:space="preserve">71.1%</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23.3%</w:t>
            </w:r>
          </w:p>
        </w:tc>
      </w:tr>
      <w:tr>
        <w:tc>
          <w:tcPr/>
          <w:p>
            <w:pPr>
              <w:pStyle w:val="Compact"/>
              <w:jc w:val="left"/>
            </w:pPr>
            <w:r>
              <w:t xml:space="preserve">End-of-Life (Net)</w:t>
            </w:r>
          </w:p>
        </w:tc>
        <w:tc>
          <w:tcPr/>
          <w:p>
            <w:pPr>
              <w:pStyle w:val="Compact"/>
              <w:jc w:val="left"/>
            </w:pPr>
            <w:r>
              <w:t xml:space="preserve">-0.33</w:t>
            </w:r>
          </w:p>
        </w:tc>
        <w:tc>
          <w:tcPr/>
          <w:p>
            <w:pPr>
              <w:pStyle w:val="Compact"/>
              <w:jc w:val="left"/>
            </w:pPr>
            <w:r>
              <w:t xml:space="preserve">-0.4%</w:t>
            </w:r>
          </w:p>
        </w:tc>
      </w:tr>
    </w:tbl>
    <w:p>
      <w:pPr>
        <w:pStyle w:val="BodyText"/>
      </w:pPr>
      <w:r>
        <w:rPr>
          <w:bCs/>
          <w:b/>
        </w:rPr>
        <w:t xml:space="preserve">Total Product Carbon Footprint (PCF):</w:t>
      </w:r>
      <w:r>
        <w:t xml:space="preserve"> </w:t>
      </w:r>
      <w:r>
        <w:t xml:space="preserve">4.65 + 0.57 + 61.00 + 20.00 - 0.33 = 85.89 kgCO2e/unit</w:t>
      </w:r>
    </w:p>
    <w:bookmarkEnd w:id="32"/>
    <w:bookmarkStart w:id="33" w:name="emissions-by-ghg-protocol-scope"/>
    <w:p>
      <w:pPr>
        <w:pStyle w:val="Heading3"/>
      </w:pPr>
      <w:r>
        <w:t xml:space="preserve">4.2 Emissions by GHG Protocol Scope</w:t>
      </w:r>
    </w:p>
    <w:p>
      <w:pPr>
        <w:pStyle w:val="FirstParagraph"/>
      </w:pPr>
      <w:r>
        <w:t xml:space="preserve">For a PCF, most emissions fall under Scope 3 for the reporting company (fsrmifdwss), as the system boundary is cradle-to-gate with downstream elements.</w:t>
      </w:r>
      <w:r>
        <w:t xml:space="preserve"> </w:t>
      </w:r>
      <w:r>
        <w:t xml:space="preserve">Scope 1 for fsrmifdwss would only include direct emissions from company-owned operations directly related to the product\'s final assembly (not explicitly detailed here, often minimal for \'gate\' boundary).</w:t>
      </w:r>
      <w:r>
        <w:t xml:space="preserve"> </w:t>
      </w:r>
      <w:r>
        <w:t xml:space="preserve">Scope 2 includes purchased electricity for production. All other value chain emissions are Scope 3.</w:t>
      </w:r>
    </w:p>
    <w:p>
      <w:pPr>
        <w:numPr>
          <w:ilvl w:val="0"/>
          <w:numId w:val="1015"/>
        </w:numPr>
        <w:pStyle w:val="Compact"/>
      </w:pPr>
      <w:r>
        <w:rPr>
          <w:bCs/>
          <w:b/>
        </w:rPr>
        <w:t xml:space="preserve">Scope 1:</w:t>
      </w:r>
      <w:r>
        <w:t xml:space="preserve"> </w:t>
      </w:r>
      <w:r>
        <w:t xml:space="preserve">0.00 kgCO2e (Assuming final production plant direct emissions are negligible or already accounted within Scope 2 if purchased electricity is primary energy source, or not owned/controlled by fsrmifdwss for specific product line).</w:t>
      </w:r>
    </w:p>
    <w:p>
      <w:pPr>
        <w:numPr>
          <w:ilvl w:val="0"/>
          <w:numId w:val="1015"/>
        </w:numPr>
        <w:pStyle w:val="Compact"/>
      </w:pPr>
      <w:r>
        <w:rPr>
          <w:bCs/>
          <w:b/>
        </w:rPr>
        <w:t xml:space="preserve">Scope 2:</w:t>
      </w:r>
      <w:r>
        <w:t xml:space="preserve"> </w:t>
      </w:r>
      <w:r>
        <w:t xml:space="preserve">0.57 kgCO2e (Production Phase Energy)</w:t>
      </w:r>
    </w:p>
    <w:p>
      <w:pPr>
        <w:numPr>
          <w:ilvl w:val="0"/>
          <w:numId w:val="1015"/>
        </w:numPr>
        <w:pStyle w:val="Compact"/>
      </w:pPr>
      <w:r>
        <w:rPr>
          <w:bCs/>
          <w:b/>
        </w:rPr>
        <w:t xml:space="preserve">Scope 3:</w:t>
      </w:r>
      <w:r>
        <w:t xml:space="preserve"> </w:t>
      </w:r>
      <w:r>
        <w:t xml:space="preserve">4.65 (Materials) + 61.00 (Transport) + 20.00 (Use Phase) - 0.33 (EoL Net) = 85.32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Share (%)</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0.57</w:t>
            </w:r>
          </w:p>
        </w:tc>
        <w:tc>
          <w:tcPr/>
          <w:p>
            <w:pPr>
              <w:pStyle w:val="Compact"/>
              <w:jc w:val="left"/>
            </w:pPr>
            <w:r>
              <w:t xml:space="preserve">0.7%</w:t>
            </w:r>
          </w:p>
        </w:tc>
      </w:tr>
      <w:tr>
        <w:tc>
          <w:tcPr/>
          <w:p>
            <w:pPr>
              <w:pStyle w:val="Compact"/>
              <w:jc w:val="left"/>
            </w:pPr>
            <w:r>
              <w:t xml:space="preserve">Scope 3 (Value Chain)</w:t>
            </w:r>
          </w:p>
        </w:tc>
        <w:tc>
          <w:tcPr/>
          <w:p>
            <w:pPr>
              <w:pStyle w:val="Compact"/>
              <w:jc w:val="left"/>
            </w:pPr>
            <w:r>
              <w:t xml:space="preserve">85.32</w:t>
            </w:r>
          </w:p>
        </w:tc>
        <w:tc>
          <w:tcPr/>
          <w:p>
            <w:pPr>
              <w:pStyle w:val="Compact"/>
              <w:jc w:val="left"/>
            </w:pPr>
            <w:r>
              <w:t xml:space="preserve">99.3%</w:t>
            </w:r>
          </w:p>
        </w:tc>
      </w:tr>
    </w:tbl>
    <w:p>
      <w:pPr>
        <w:pStyle w:val="BodyText"/>
      </w:pPr>
      <w:r>
        <w:rPr>
          <w:bCs/>
          <w:b/>
        </w:rPr>
        <w:t xml:space="preserve">Total Product Carbon Footprint (PCF):</w:t>
      </w:r>
      <w:r>
        <w:t xml:space="preserve"> </w:t>
      </w:r>
      <w:r>
        <w:t xml:space="preserve">85.89 kgCO2e/unit</w:t>
      </w:r>
    </w:p>
    <w:bookmarkEnd w:id="33"/>
    <w:bookmarkStart w:id="34" w:name="hotspot-identification"/>
    <w:p>
      <w:pPr>
        <w:pStyle w:val="Heading3"/>
      </w:pPr>
      <w:r>
        <w:t xml:space="preserve">4.3 Hotspot Identification</w:t>
      </w:r>
    </w:p>
    <w:p>
      <w:pPr>
        <w:pStyle w:val="FirstParagraph"/>
      </w:pPr>
      <w:r>
        <w:t xml:space="preserve">Based on the calculations, the primary emission hotspots for oyzrlhrgvr are:</w:t>
      </w:r>
    </w:p>
    <w:p>
      <w:pPr>
        <w:numPr>
          <w:ilvl w:val="0"/>
          <w:numId w:val="1016"/>
        </w:numPr>
        <w:pStyle w:val="Compact"/>
      </w:pPr>
      <w:r>
        <w:rPr>
          <w:bCs/>
          <w:b/>
        </w:rPr>
        <w:t xml:space="preserve">Transport &amp; Distribution (71.1%):</w:t>
      </w:r>
      <w:r>
        <w:t xml:space="preserve"> </w:t>
      </w:r>
      <w:r>
        <w:t xml:space="preserve">This is the most significant contributor, largely driven by the assumed long-distance upstream transport for components from a Europe-focused supply chain to the China production facility.</w:t>
      </w:r>
    </w:p>
    <w:p>
      <w:pPr>
        <w:numPr>
          <w:ilvl w:val="0"/>
          <w:numId w:val="1016"/>
        </w:numPr>
        <w:pStyle w:val="Compact"/>
      </w:pPr>
      <w:r>
        <w:rPr>
          <w:bCs/>
          <w:b/>
        </w:rPr>
        <w:t xml:space="preserve">Use Phase (23.3%):</w:t>
      </w:r>
      <w:r>
        <w:t xml:space="preserve"> </w:t>
      </w:r>
      <w:r>
        <w:t xml:space="preserve">The energy consumption during the product\'s 5-year lifespan contributes substantially to the overall footprint.</w:t>
      </w:r>
    </w:p>
    <w:p>
      <w:pPr>
        <w:numPr>
          <w:ilvl w:val="0"/>
          <w:numId w:val="1016"/>
        </w:numPr>
        <w:pStyle w:val="Compact"/>
      </w:pPr>
      <w:r>
        <w:rPr>
          <w:bCs/>
          <w:b/>
        </w:rPr>
        <w:t xml:space="preserve">Material Acquisition (5.4%):</w:t>
      </w:r>
      <w:r>
        <w:t xml:space="preserve"> </w:t>
      </w:r>
      <w:r>
        <w:t xml:space="preserve">The production of raw materials, particularly the electronics and battery components, represents a notable portion of the upstream emissions.</w:t>
      </w:r>
    </w:p>
    <w:bookmarkEnd w:id="34"/>
    <w:bookmarkEnd w:id="35"/>
    <w:bookmarkStart w:id="38" w:name="review-reporting"/>
    <w:p>
      <w:pPr>
        <w:pStyle w:val="Heading2"/>
      </w:pPr>
      <w:r>
        <w:t xml:space="preserve">5. Review &amp; Reporting</w:t>
      </w:r>
    </w:p>
    <w:bookmarkStart w:id="36" w:name="reliability-and-data-quality"/>
    <w:p>
      <w:pPr>
        <w:pStyle w:val="Heading3"/>
      </w:pPr>
      <w:r>
        <w:t xml:space="preserve">5.1 Reliability and Data Quality</w:t>
      </w:r>
    </w:p>
    <w:p>
      <w:pPr>
        <w:pStyle w:val="FirstParagraph"/>
      </w:pPr>
      <w:r>
        <w:t xml:space="preserve">The reliability of this PCF analysis is directly dependent on the accuracy and completeness of the input data.</w:t>
      </w:r>
      <w:r>
        <w:t xml:space="preserve"> </w:t>
      </w:r>
      <w:r>
        <w:t xml:space="preserve">As placeholders were provided for several key parameters (BOM details, transport mode/distance, energy usage percentages, lifespan, consumption, recyclability, circular programs), illustrative but plausible data and industry-standard emission factors (aligned with Ecoinvent/DEFRA principles) were utilized.</w:t>
      </w:r>
      <w:r>
        <w:t xml:space="preserve"> </w:t>
      </w:r>
      <w:r>
        <w:t xml:space="preserve">Future assessments should prioritize the collection of primary, supplier-specific data for enhanced accuracy, especially for materials and transport, in line with GHG Protocol\'s evolving data quality expectations.</w:t>
      </w:r>
    </w:p>
    <w:bookmarkEnd w:id="36"/>
    <w:bookmarkStart w:id="37" w:name="recommendations-for-reduction"/>
    <w:p>
      <w:pPr>
        <w:pStyle w:val="Heading3"/>
      </w:pPr>
      <w:r>
        <w:t xml:space="preserve">5.2 Recommendations for Reduction</w:t>
      </w:r>
    </w:p>
    <w:p>
      <w:pPr>
        <w:numPr>
          <w:ilvl w:val="0"/>
          <w:numId w:val="1017"/>
        </w:numPr>
        <w:pStyle w:val="Compact"/>
      </w:pPr>
      <w:r>
        <w:rPr>
          <w:bCs/>
          <w:b/>
        </w:rPr>
        <w:t xml:space="preserve">Optimize Logistics:</w:t>
      </w:r>
    </w:p>
    <w:p>
      <w:pPr>
        <w:numPr>
          <w:ilvl w:val="1"/>
          <w:numId w:val="1018"/>
        </w:numPr>
        <w:pStyle w:val="Compact"/>
      </w:pPr>
      <w:r>
        <w:t xml:space="preserve">Investigate opportunities for localized sourcing of materials or components to reduce transport distances, especially for high-impact items from Europe to China.</w:t>
      </w:r>
    </w:p>
    <w:p>
      <w:pPr>
        <w:numPr>
          <w:ilvl w:val="1"/>
          <w:numId w:val="1018"/>
        </w:numPr>
        <w:pStyle w:val="Compact"/>
      </w:pPr>
      <w:r>
        <w:t xml:space="preserve">Explore more carbon-efficient transport modes (e.g., rail or sea freight over long distances) where feasible, while considering speed and cost.</w:t>
      </w:r>
    </w:p>
    <w:p>
      <w:pPr>
        <w:numPr>
          <w:ilvl w:val="1"/>
          <w:numId w:val="1018"/>
        </w:numPr>
        <w:pStyle w:val="Compact"/>
      </w:pPr>
      <w:r>
        <w:t xml:space="preserve">Optimize logistics networks and consolidation strategies to maximize load factors and reduce empty runs.</w:t>
      </w:r>
    </w:p>
    <w:p>
      <w:pPr>
        <w:numPr>
          <w:ilvl w:val="0"/>
          <w:numId w:val="1017"/>
        </w:numPr>
        <w:pStyle w:val="Compact"/>
      </w:pPr>
      <w:r>
        <w:rPr>
          <w:bCs/>
          <w:b/>
        </w:rPr>
        <w:t xml:space="preserve">Enhance Energy Efficiency in Use Phase:</w:t>
      </w:r>
    </w:p>
    <w:p>
      <w:pPr>
        <w:numPr>
          <w:ilvl w:val="1"/>
          <w:numId w:val="1019"/>
        </w:numPr>
        <w:pStyle w:val="Compact"/>
      </w:pPr>
      <w:r>
        <w:t xml:space="preserve">Explore design improvements to reduce the product\'s energy consumption during its use.</w:t>
      </w:r>
    </w:p>
    <w:p>
      <w:pPr>
        <w:numPr>
          <w:ilvl w:val="1"/>
          <w:numId w:val="1019"/>
        </w:numPr>
        <w:pStyle w:val="Compact"/>
      </w:pPr>
      <w:r>
        <w:t xml:space="preserve">Promote the use of renewable energy sources by end-users where possible (e.g., through incentives or product design for low-power modes).</w:t>
      </w:r>
    </w:p>
    <w:p>
      <w:pPr>
        <w:numPr>
          <w:ilvl w:val="0"/>
          <w:numId w:val="1017"/>
        </w:numPr>
        <w:pStyle w:val="Compact"/>
      </w:pPr>
      <w:r>
        <w:rPr>
          <w:bCs/>
          <w:b/>
        </w:rPr>
        <w:t xml:space="preserve">Sustainable Material Sourcing:</w:t>
      </w:r>
    </w:p>
    <w:p>
      <w:pPr>
        <w:numPr>
          <w:ilvl w:val="1"/>
          <w:numId w:val="1020"/>
        </w:numPr>
        <w:pStyle w:val="Compact"/>
      </w:pPr>
      <w:r>
        <w:t xml:space="preserve">Collaborate with suppliers to identify and integrate lower-carbon materials or materials with higher recycled content.</w:t>
      </w:r>
    </w:p>
    <w:p>
      <w:pPr>
        <w:numPr>
          <w:ilvl w:val="1"/>
          <w:numId w:val="1020"/>
        </w:numPr>
        <w:pStyle w:val="Compact"/>
      </w:pPr>
      <w:r>
        <w:t xml:space="preserve">Continuously evaluate the BOM for opportunities to reduce material intensity and select materials with inherently lower emission factors.</w:t>
      </w:r>
    </w:p>
    <w:p>
      <w:pPr>
        <w:numPr>
          <w:ilvl w:val="0"/>
          <w:numId w:val="1017"/>
        </w:numPr>
        <w:pStyle w:val="Compact"/>
      </w:pPr>
      <w:r>
        <w:rPr>
          <w:bCs/>
          <w:b/>
        </w:rPr>
        <w:t xml:space="preserve">Strengthen Circular Economy Initiatives:</w:t>
      </w:r>
    </w:p>
    <w:p>
      <w:pPr>
        <w:numPr>
          <w:ilvl w:val="1"/>
          <w:numId w:val="1021"/>
        </w:numPr>
        <w:pStyle w:val="Compact"/>
      </w:pPr>
      <w:r>
        <w:t xml:space="preserve">Expand and promote the existing take-back programs to increase material recovery rates further.</w:t>
      </w:r>
    </w:p>
    <w:p>
      <w:pPr>
        <w:numPr>
          <w:ilvl w:val="1"/>
          <w:numId w:val="1021"/>
        </w:numPr>
        <w:pStyle w:val="Compact"/>
      </w:pPr>
      <w:r>
        <w:t xml:space="preserve">Design for disassembly, repairability, and longevity to extend product lifespan and facilitate high-quality recycling.</w:t>
      </w:r>
    </w:p>
    <w:p>
      <w:pPr>
        <w:numPr>
          <w:ilvl w:val="0"/>
          <w:numId w:val="1017"/>
        </w:numPr>
        <w:pStyle w:val="Compact"/>
      </w:pPr>
      <w:r>
        <w:rPr>
          <w:bCs/>
          <w:b/>
        </w:rPr>
        <w:t xml:space="preserve">Data Improvement:</w:t>
      </w:r>
    </w:p>
    <w:p>
      <w:pPr>
        <w:numPr>
          <w:ilvl w:val="1"/>
          <w:numId w:val="1022"/>
        </w:numPr>
        <w:pStyle w:val="Compact"/>
      </w:pPr>
      <w:r>
        <w:t xml:space="preserve">Prioritize gathering primary data for the most significant emission sources, particularly for material production and transport, to further refine the PCF. This includes supplier-specific emission factors and actual activity data.</w:t>
      </w:r>
    </w:p>
    <w:p>
      <w:pPr>
        <w:numPr>
          <w:ilvl w:val="1"/>
          <w:numId w:val="1022"/>
        </w:numPr>
        <w:pStyle w:val="Compact"/>
      </w:pPr>
      <w:r>
        <w:t xml:space="preserve">Conduct a more granular assessment of the geographical grid mix for electricity consumed in the use phase.</w:t>
      </w:r>
    </w:p>
    <w:p>
      <w:r>
        <w:pict>
          <v:rect style="width:0;height:1.5pt" o:hralign="center" o:hrstd="t" o:hr="t"/>
        </w:pict>
      </w:r>
    </w:p>
    <w:bookmarkEnd w:id="37"/>
    <w:bookmarkEnd w:id="38"/>
    <w:bookmarkStart w:id="41" w:name="conclusion"/>
    <w:p>
      <w:pPr>
        <w:pStyle w:val="Heading2"/>
      </w:pPr>
      <w:r>
        <w:t xml:space="preserve">Conclusion</w:t>
      </w:r>
    </w:p>
    <w:p>
      <w:pPr>
        <w:pStyle w:val="FirstParagraph"/>
      </w:pPr>
      <w:r>
        <w:t xml:space="preserve">This high-detail Product Carbon Footprint analysis for oyzrlhrgvr by fsrmifdwss, conducted by vnhzzzwqvn and adhering to the GHG Protocol (including the 2026 LSR updates and Scope 3 compliance), reveals a total PCF of 85.89 kgCO2e per unit.</w:t>
      </w:r>
      <w:r>
        <w:t xml:space="preserve"> </w:t>
      </w:r>
      <w:r>
        <w:t xml:space="preserve">The most significant contributors are identified as Transport &amp; Distribution and the Use Phase.</w:t>
      </w:r>
      <w:r>
        <w:t xml:space="preserve"> </w:t>
      </w:r>
      <w:r>
        <w:t xml:space="preserve">By focusing on strategic interventions in these hotspot areas, fsrmifdwss can significantly reduce the environmental impact of oyzrlhrgvr and demonstrate leadership in product sustainability.</w:t>
      </w:r>
      <w:r>
        <w:t xml:space="preserve"> </w:t>
      </w:r>
      <w:r>
        <w:t xml:space="preserve">Continuous data collection and refinement will further enhance the accuracy and actionability of future PCF assessments.</w:t>
      </w:r>
    </w:p>
    <w:p>
      <w:pPr>
        <w:pStyle w:val="BodyText"/>
      </w:pPr>
      <w:r>
        <w:t xml:space="preserve">Confidential - Internal Use Only</w:t>
      </w:r>
    </w:p>
    <w:p>
      <w:pPr>
        <w:pStyle w:val="BodyText"/>
      </w:pPr>
      <w:r>
        <w:t xml:space="preserve">Page</w:t>
      </w:r>
      <w:r>
        <w:t xml:space="preserve"> </w:t>
      </w:r>
      <w:bookmarkStart w:id="39" w:name="pageNumber"/>
      <w:bookmarkEnd w:id="39"/>
      <w:r>
        <w:t xml:space="preserve"> </w:t>
      </w:r>
      <w:r>
        <w:t xml:space="preserve">of</w:t>
      </w:r>
      <w:r>
        <w:t xml:space="preserve"> </w:t>
      </w:r>
      <w:bookmarkStart w:id="40" w:name="totalPages"/>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oyzrlhrgvr</dc:title>
  <dc:creator/>
  <dc:description>High-detail Product Carbon Footprint (PCF) analysis for oyzrlhrgvr by fsrmifdwss, following GHG Protocol standards and incorporating 2026 LSR updates.</dc:description>
  <dc:language>en</dc:language>
  <cp:keywords/>
  <dcterms:created xsi:type="dcterms:W3CDTF">2026-07-15T05:32:18Z</dcterms:created>
  <dcterms:modified xsi:type="dcterms:W3CDTF">2026-07-15T05:32:18Z</dcterms:modified>
</cp:coreProperties>
</file>

<file path=docProps/custom.xml><?xml version="1.0" encoding="utf-8"?>
<Properties xmlns="http://schemas.openxmlformats.org/officeDocument/2006/custom-properties" xmlns:vt="http://schemas.openxmlformats.org/officeDocument/2006/docPropsVTypes"/>
</file>