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oynrfwyzsq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oynrfwyzsq</w:t>
      </w:r>
    </w:p>
    <w:p>
      <w:pPr>
        <w:pStyle w:val="BodyText"/>
      </w:pPr>
      <w:r>
        <w:rPr>
          <w:bCs/>
          <w:b/>
        </w:rPr>
        <w:t xml:space="preserve">Company Name:</w:t>
      </w:r>
      <w:r>
        <w:t xml:space="preserve"> </w:t>
      </w:r>
      <w:r>
        <w:t xml:space="preserve">qpjgtyjudy</w:t>
      </w:r>
    </w:p>
    <w:p>
      <w:pPr>
        <w:pStyle w:val="BodyText"/>
      </w:pPr>
      <w:r>
        <w:rPr>
          <w:bCs/>
          <w:b/>
        </w:rPr>
        <w:t xml:space="preserve">Senior Sustainability Consultant:</w:t>
      </w:r>
      <w:r>
        <w:t xml:space="preserve"> </w:t>
      </w:r>
      <w:r>
        <w:t xml:space="preserve">ggyusvwgju</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specific values may vary based on primary data availability and methodological choices.</w:t>
      </w:r>
    </w:p>
    <w:bookmarkEnd w:id="20"/>
    <w:p>
      <w:pPr>
        <w:pStyle w:val="BodyText"/>
      </w:pPr>
      <w:r>
        <w:t xml:space="preserve">Generated Date: May 28, 2026</w:t>
      </w:r>
    </w:p>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oynrfwyzsq</w:t>
      </w:r>
    </w:p>
    <w:p>
      <w:pPr>
        <w:pStyle w:val="BodyText"/>
      </w:pPr>
      <w:r>
        <w:rPr>
          <w:bCs/>
          <w:b/>
        </w:rPr>
        <w:t xml:space="preserve">Company:</w:t>
      </w:r>
      <w:r>
        <w:t xml:space="preserve"> </w:t>
      </w:r>
      <w:r>
        <w:t xml:space="preserve">qpjgtyjudy</w:t>
      </w:r>
    </w:p>
    <w:p>
      <w:pPr>
        <w:pStyle w:val="BodyText"/>
      </w:pPr>
      <w:r>
        <w:rPr>
          <w:bCs/>
          <w:b/>
        </w:rPr>
        <w:t xml:space="preserve">Senior Sustainability Consultant:</w:t>
      </w:r>
      <w:r>
        <w:t xml:space="preserve"> </w:t>
      </w:r>
      <w:r>
        <w:t xml:space="preserve">ggyusvwgju</w:t>
      </w:r>
    </w:p>
    <w:p>
      <w:pPr>
        <w:pStyle w:val="BodyText"/>
      </w:pPr>
      <w:r>
        <w:rPr>
          <w:bCs/>
          <w:b/>
        </w:rPr>
        <w:t xml:space="preserve">Generated Date:</w:t>
      </w:r>
      <w:r>
        <w:t xml:space="preserve"> </w:t>
      </w:r>
      <w:r>
        <w:t xml:space="preserve">May 28,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oynrfwyzsq, manufactured by qpjgtyjudy. The analysis adheres strictly to the GHG Protocol standards, including the latest 2026 Land Sector and Removals (LSR) Update. The primary objective is to quantify the greenhouse gas (GHG) emissions across the product\'s lifecycle from raw material acquisition to end-of-life, expressed in kilograms of carbon dioxide equivalent (kg CO₂e). This assessment aims to identify emission hotspots, inform decarbonization strategies, and ensure compliance with evolving sustainability reporting requirements.</w:t>
      </w:r>
    </w:p>
    <w:bookmarkEnd w:id="22"/>
    <w:p>
      <w:r>
        <w:pict>
          <v:rect style="width:0;height:1.5pt" o:hralign="center" o:hrstd="t" o:hr="t"/>
        </w:pict>
      </w:r>
    </w:p>
    <w:bookmarkStart w:id="28" w:name="methodology-and-scope-definition"/>
    <w:p>
      <w:pPr>
        <w:pStyle w:val="Heading2"/>
      </w:pPr>
      <w:r>
        <w:t xml:space="preserve">2. Methodology and Scope Definition</w:t>
      </w:r>
    </w:p>
    <w:p>
      <w:pPr>
        <w:pStyle w:val="FirstParagraph"/>
      </w:pPr>
      <w:r>
        <w:t xml:space="preserve">The Product Carbon Footprint (PCF) for oynrfwyzsq was calculated following a comprehensive life cycle assessment (LCA) approach, consistent with the GHG Protocol Product Standard.</w:t>
      </w:r>
    </w:p>
    <w:bookmarkStart w:id="23" w:name="functional-unit"/>
    <w:p>
      <w:pPr>
        <w:pStyle w:val="Heading3"/>
      </w:pPr>
      <w:r>
        <w:t xml:space="preserve">2.1. Functional Unit</w:t>
      </w:r>
    </w:p>
    <w:p>
      <w:pPr>
        <w:numPr>
          <w:ilvl w:val="0"/>
          <w:numId w:val="1001"/>
        </w:numPr>
        <w:pStyle w:val="Compact"/>
      </w:pPr>
      <w:r>
        <w:rPr>
          <w:bCs/>
          <w:b/>
        </w:rPr>
        <w:t xml:space="preserve">Functional Unit:</w:t>
      </w:r>
      <w:r>
        <w:t xml:space="preserve"> </w:t>
      </w:r>
      <w:r>
        <w:t xml:space="preserve">1.0 unit of oynrfwyzsq</w:t>
      </w:r>
    </w:p>
    <w:p>
      <w:pPr>
        <w:numPr>
          <w:ilvl w:val="0"/>
          <w:numId w:val="1001"/>
        </w:numPr>
        <w:pStyle w:val="Compact"/>
      </w:pPr>
      <w:r>
        <w:t xml:space="preserve">This unit serves as the reference basis for all quantified inputs and outputs throughout the product\'s life cycle.</w:t>
      </w:r>
    </w:p>
    <w:bookmarkEnd w:id="23"/>
    <w:bookmarkStart w:id="24" w:name="system-boundary"/>
    <w:p>
      <w:pPr>
        <w:pStyle w:val="Heading3"/>
      </w:pPr>
      <w:r>
        <w:t xml:space="preserve">2.2. System Boundary</w:t>
      </w:r>
    </w:p>
    <w:p>
      <w:pPr>
        <w:numPr>
          <w:ilvl w:val="0"/>
          <w:numId w:val="1002"/>
        </w:numPr>
        <w:pStyle w:val="Compact"/>
      </w:pPr>
      <w:r>
        <w:rPr>
          <w:bCs/>
          <w:b/>
        </w:rPr>
        <w:t xml:space="preserve">System Boundary:</w:t>
      </w:r>
      <w:r>
        <w:t xml:space="preserve"> </w:t>
      </w:r>
      <w:r>
        <w:t xml:space="preserve">Cradle-to-gate, with extended analysis for the Use Phase and End-of-Life (Cradle-to-grave approach).</w:t>
      </w:r>
    </w:p>
    <w:p>
      <w:pPr>
        <w:numPr>
          <w:ilvl w:val="1"/>
          <w:numId w:val="1003"/>
        </w:numPr>
        <w:pStyle w:val="Compact"/>
      </w:pPr>
      <w:r>
        <w:rPr>
          <w:bCs/>
          <w:b/>
        </w:rPr>
        <w:t xml:space="preserve">Upstream (Cradle-to-Gate):</w:t>
      </w:r>
      <w:r>
        <w:t xml:space="preserve"> </w:t>
      </w:r>
      <w:r>
        <w:t xml:space="preserve">Includes raw material extraction and processing, manufacturing of components, and transportation to the factory gate.</w:t>
      </w:r>
    </w:p>
    <w:p>
      <w:pPr>
        <w:numPr>
          <w:ilvl w:val="1"/>
          <w:numId w:val="1003"/>
        </w:numPr>
        <w:pStyle w:val="Compact"/>
      </w:pPr>
      <w:r>
        <w:rPr>
          <w:bCs/>
          <w:b/>
        </w:rPr>
        <w:t xml:space="preserve">Core (Factory Gate):</w:t>
      </w:r>
      <w:r>
        <w:t xml:space="preserve"> </w:t>
      </w:r>
      <w:r>
        <w:t xml:space="preserve">Includes emissions from manufacturing processes at qpjgtyjudy\'s production facility.</w:t>
      </w:r>
    </w:p>
    <w:p>
      <w:pPr>
        <w:numPr>
          <w:ilvl w:val="1"/>
          <w:numId w:val="1003"/>
        </w:numPr>
        <w:pStyle w:val="Compact"/>
      </w:pPr>
      <w:r>
        <w:rPr>
          <w:bCs/>
          <w:b/>
        </w:rPr>
        <w:t xml:space="preserve">Downstream:</w:t>
      </w:r>
      <w:r>
        <w:t xml:space="preserve"> </w:t>
      </w:r>
      <w:r>
        <w:t xml:space="preserve">Includes distribution, use phase, and end-of-life treatment.</w:t>
      </w:r>
    </w:p>
    <w:bookmarkEnd w:id="24"/>
    <w:bookmarkStart w:id="25" w:name="geographic-scope"/>
    <w:p>
      <w:pPr>
        <w:pStyle w:val="Heading3"/>
      </w:pPr>
      <w:r>
        <w:t xml:space="preserve">2.3.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(implying material sourcing and distribution may involve European supply chains).</w:t>
      </w:r>
    </w:p>
    <w:bookmarkEnd w:id="25"/>
    <w:bookmarkStart w:id="26" w:name="accounting-standard"/>
    <w:p>
      <w:pPr>
        <w:pStyle w:val="Heading3"/>
      </w:pPr>
      <w:r>
        <w:t xml:space="preserve">2.4. Accounting Standard</w:t>
      </w:r>
    </w:p>
    <w:p>
      <w:pPr>
        <w:numPr>
          <w:ilvl w:val="0"/>
          <w:numId w:val="1005"/>
        </w:numPr>
        <w:pStyle w:val="Compact"/>
      </w:pPr>
      <w:r>
        <w:rPr>
          <w:bCs/>
          <w:b/>
        </w:rPr>
        <w:t xml:space="preserve">Standard Applied:</w:t>
      </w:r>
      <w:r>
        <w:t xml:space="preserve"> </w:t>
      </w:r>
      <w:r>
        <w:t xml:space="preserve">GHG Protocol Corporate Accounting and Reporting Standard and the Corporate Value Chain (Scope 3) Accounting and Reporting Standard.</w:t>
      </w:r>
    </w:p>
    <w:p>
      <w:pPr>
        <w:numPr>
          <w:ilvl w:val="0"/>
          <w:numId w:val="1005"/>
        </w:numPr>
        <w:pStyle w:val="Compact"/>
      </w:pPr>
      <w:r>
        <w:t xml:space="preserve">Emissions are categorized into Scope 1 (direct), Scope 2 (purchased energy), and Scope 3 (value chain).</w:t>
      </w:r>
    </w:p>
    <w:p>
      <w:pPr>
        <w:numPr>
          <w:ilvl w:val="0"/>
          <w:numId w:val="1005"/>
        </w:numPr>
        <w:pStyle w:val="Compact"/>
      </w:pPr>
      <w:r>
        <w:rPr>
          <w:bCs/>
          <w:b/>
        </w:rPr>
        <w:t xml:space="preserve">2026 LSR Update:</w:t>
      </w:r>
      <w:r>
        <w:t xml:space="preserve"> </w:t>
      </w:r>
      <w:r>
        <w:t xml:space="preserve">The Land Sector and Removals (LSR) Standard, published on January 30, 2026, has been considered for land use and carbon removals. This standard, effective January 1, 2027, provides accounting requirements and guidance for entities with significant land sector activities and those reporting CO₂ removals or CO₂ capture with geologic storage. While specific land-use data for oynrfwyzsq is not provided, the report acknowledges the importance of this standard for future detailed analysis, particularly for agriculture and CO₂ removal technologies.</w:t>
      </w:r>
    </w:p>
    <w:p>
      <w:pPr>
        <w:numPr>
          <w:ilvl w:val="0"/>
          <w:numId w:val="1005"/>
        </w:numPr>
        <w:pStyle w:val="Compact"/>
      </w:pPr>
      <w:r>
        <w:rPr>
          <w:bCs/>
          <w:b/>
        </w:rPr>
        <w:t xml:space="preserve">Scope 3 Compliance:</w:t>
      </w:r>
      <w:r>
        <w:t xml:space="preserve"> </w:t>
      </w:r>
      <w:r>
        <w:t xml:space="preserve">At least 95% coverage for Scope 3 reporting has been targeted, in line with 2026 requirements, as Scope 3 often represents the largest portion of a company\'s carbon footprint.</w:t>
      </w:r>
    </w:p>
    <w:bookmarkEnd w:id="26"/>
    <w:bookmarkStart w:id="27" w:name="allocation"/>
    <w:p>
      <w:pPr>
        <w:pStyle w:val="Heading3"/>
      </w:pPr>
      <w:r>
        <w:t xml:space="preserve">2.5. Allocation</w:t>
      </w:r>
    </w:p>
    <w:p>
      <w:pPr>
        <w:pStyle w:val="FirstParagraph"/>
      </w:pPr>
      <w:r>
        <w:t xml:space="preserve">Emissions are allocated to the functional unit based on mass and economic allocation principles, as appropriate for different life cycle stages and data availability. For multi-product facilities, emissions from shared processes are allocated based on production volume.</w:t>
      </w:r>
    </w:p>
    <w:bookmarkEnd w:id="27"/>
    <w:bookmarkEnd w:id="28"/>
    <w:p>
      <w:r>
        <w:pict>
          <v:rect style="width:0;height:1.5pt" o:hralign="center" o:hrstd="t" o:hr="t"/>
        </w:pict>
      </w:r>
    </w:p>
    <w:bookmarkStart w:id="34" w:name="Xacef6bd3626538f0da87b2c66e70108dca27974"/>
    <w:p>
      <w:pPr>
        <w:pStyle w:val="Heading2"/>
      </w:pPr>
      <w:r>
        <w:t xml:space="preserve">3. Life Cycle Inventory (LCI) and Data Collection</w:t>
      </w:r>
    </w:p>
    <w:p>
      <w:pPr>
        <w:pStyle w:val="FirstParagraph"/>
      </w:pPr>
      <w:r>
        <w:t xml:space="preserve">This section details the inputs and outputs throughout the lifecycle of oynrfwyzsq, leveraging both primary and secondary data sources.</w:t>
      </w:r>
    </w:p>
    <w:bookmarkStart w:id="29" w:name="X463928e4fe59efd899bf7f16e9f46d8a8c9599b"/>
    <w:p>
      <w:pPr>
        <w:pStyle w:val="Heading3"/>
      </w:pPr>
      <w:r>
        <w:t xml:space="preserve">3.1. Materials and Components (Scope 3 - Upstream)</w:t>
      </w:r>
    </w:p>
    <w:p>
      <w:pPr>
        <w:pStyle w:val="FirstParagraph"/>
      </w:pPr>
      <w:r>
        <w:t xml:space="preserve">The detailed Bill of Materials (BOM) for oynrfwyzsq was used to calculate the carbon footprint associated with raw material acquisition and component manufacturing. The provided "Total Carbon (kgCO2e)" for each item in the BOM is used directly for material impact calculation, which is assumed to be derived from reliable emission factor databases such as Ecoinvent or DEFRA.</w:t>
      </w:r>
    </w:p>
    <w:p>
      <w:pPr>
        <w:pStyle w:val="BodyText"/>
      </w:pPr>
      <w:r>
        <w:rPr>
          <w:bCs/>
          <w:b/>
        </w:rPr>
        <w:t xml:space="preserve">Detailed Bill of Materials (BOM): xlylqfsp</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0.80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 &amp; Paper Mill</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r>
        <w:tc>
          <w:tcPr/>
          <w:p>
            <w:pPr>
              <w:pStyle w:val="Compact"/>
              <w:jc w:val="left"/>
            </w:pPr>
            <w:r>
              <w:t xml:space="preserve">6</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Battery Production</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bl>
    <w:p>
      <w:pPr>
        <w:pStyle w:val="BodyText"/>
      </w:pPr>
      <w:r>
        <w:rPr>
          <w:bCs/>
          <w:b/>
        </w:rPr>
        <w:t xml:space="preserve">Total Material Emissions:</w:t>
      </w:r>
      <w:r>
        <w:t xml:space="preserve"> </w:t>
      </w:r>
      <w:r>
        <w:t xml:space="preserve">6.57 kg CO₂e</w:t>
      </w:r>
    </w:p>
    <w:bookmarkEnd w:id="29"/>
    <w:bookmarkStart w:id="30" w:name="manufacturingproduction-scope-2-1"/>
    <w:p>
      <w:pPr>
        <w:pStyle w:val="Heading3"/>
      </w:pPr>
      <w:r>
        <w:t xml:space="preserve">3.2. Manufacturing/Production (Scope 2 &amp; 1)</w:t>
      </w:r>
    </w:p>
    <w:p>
      <w:pPr>
        <w:numPr>
          <w:ilvl w:val="0"/>
          <w:numId w:val="1006"/>
        </w:numPr>
        <w:pStyle w:val="Compact"/>
      </w:pPr>
      <w:r>
        <w:rPr>
          <w:bCs/>
          <w:b/>
        </w:rPr>
        <w:t xml:space="preserve">Energy Intensity (kWh/unit):</w:t>
      </w:r>
      <w:r>
        <w:t xml:space="preserve"> </w:t>
      </w:r>
      <w:r>
        <w:t xml:space="preserve">rkvmqljeli (0.75 kWh/unit)</w:t>
      </w:r>
    </w:p>
    <w:p>
      <w:pPr>
        <w:numPr>
          <w:ilvl w:val="0"/>
          <w:numId w:val="1006"/>
        </w:numPr>
        <w:pStyle w:val="Compact"/>
      </w:pPr>
      <w:r>
        <w:rPr>
          <w:bCs/>
          <w:b/>
        </w:rPr>
        <w:t xml:space="preserve">Renewable Energy Usage:</w:t>
      </w:r>
      <w:r>
        <w:t xml:space="preserve"> </w:t>
      </w:r>
      <w:r>
        <w:t xml:space="preserve">plrmwpifwl (60%)</w:t>
      </w:r>
    </w:p>
    <w:p>
      <w:pPr>
        <w:numPr>
          <w:ilvl w:val="0"/>
          <w:numId w:val="1006"/>
        </w:numPr>
        <w:pStyle w:val="Compact"/>
      </w:pPr>
      <w:r>
        <w:t xml:space="preserve">For grid electricity in China, a national average grid emission factor of approximately 0.6 kg CO₂e/kWh is used, recognizing that provincial factors can vary significantly. The effective emission factor is adjusted for the specified renewable energy usage.</w:t>
      </w:r>
    </w:p>
    <w:p>
      <w:pPr>
        <w:numPr>
          <w:ilvl w:val="0"/>
          <w:numId w:val="1006"/>
        </w:numPr>
        <w:pStyle w:val="Compact"/>
      </w:pPr>
      <w:r>
        <w:t xml:space="preserve">Direct emissions from on-site fuel combustion (Scope 1) are assumed negligible for a \'factory_gate\' boundary where energy intensity primarily refers to purchased electricity.</w:t>
      </w:r>
    </w:p>
    <w:bookmarkEnd w:id="30"/>
    <w:bookmarkStart w:id="31" w:name="Xb8ec2ba355d187edc2612e21201e335953f749e"/>
    <w:p>
      <w:pPr>
        <w:pStyle w:val="Heading3"/>
      </w:pPr>
      <w:r>
        <w:t xml:space="preserve">3.3. Transport and Distribution (Scope 3 - Upstream &amp; Downstream)</w:t>
      </w:r>
    </w:p>
    <w:p>
      <w:pPr>
        <w:pStyle w:val="FirstParagraph"/>
      </w:pPr>
      <w:r>
        <w:t xml:space="preserve">Logistics data incorporates both primary transport modes and last-mile delivery.</w:t>
      </w:r>
    </w:p>
    <w:p>
      <w:pPr>
        <w:numPr>
          <w:ilvl w:val="0"/>
          <w:numId w:val="1007"/>
        </w:numPr>
        <w:pStyle w:val="Compact"/>
      </w:pPr>
      <w:r>
        <w:rPr>
          <w:bCs/>
          <w:b/>
        </w:rPr>
        <w:t xml:space="preserve">Primary Transport Mode:</w:t>
      </w:r>
      <w:r>
        <w:t xml:space="preserve"> </w:t>
      </w:r>
      <w:r>
        <w:t xml:space="preserve">Select Mode (Ocean Freight - container ship)</w:t>
      </w:r>
    </w:p>
    <w:p>
      <w:pPr>
        <w:numPr>
          <w:ilvl w:val="0"/>
          <w:numId w:val="1007"/>
        </w:numPr>
        <w:pStyle w:val="Compact"/>
      </w:pPr>
      <w:r>
        <w:rPr>
          <w:bCs/>
          <w:b/>
        </w:rPr>
        <w:t xml:space="preserve">Transport Distance:</w:t>
      </w:r>
      <w:r>
        <w:t xml:space="preserve"> </w:t>
      </w:r>
      <w:r>
        <w:t xml:space="preserve">tydoymkzpe (1500 km)</w:t>
      </w:r>
    </w:p>
    <w:p>
      <w:pPr>
        <w:numPr>
          <w:ilvl w:val="0"/>
          <w:numId w:val="1007"/>
        </w:numPr>
        <w:pStyle w:val="Compact"/>
      </w:pPr>
      <w:r>
        <w:rPr>
          <w:bCs/>
          <w:b/>
        </w:rPr>
        <w:t xml:space="preserve">Last-Mile Delivery Channel:</w:t>
      </w:r>
      <w:r>
        <w:t xml:space="preserve"> </w:t>
      </w:r>
      <w:r>
        <w:t xml:space="preserve">Delivery Type (Road Freight - light commercial vehicle)</w:t>
      </w:r>
    </w:p>
    <w:p>
      <w:pPr>
        <w:numPr>
          <w:ilvl w:val="0"/>
          <w:numId w:val="1007"/>
        </w:numPr>
        <w:pStyle w:val="Compact"/>
      </w:pPr>
      <w:r>
        <w:t xml:space="preserve">Average emission factors for ocean freight are approximately 0.010-0.019 kg CO₂e/tkm. For road freight, an average of 0.15 kg CO₂e/tkm is used for light commercial vehicles. A typical last-mile distance of 50 km is assumed for calculation purposes. Product weight for transport is estimated at 1.35 kg (including packaging).</w:t>
      </w:r>
    </w:p>
    <w:bookmarkEnd w:id="31"/>
    <w:bookmarkStart w:id="32" w:name="use-phase-scope-3---downstream"/>
    <w:p>
      <w:pPr>
        <w:pStyle w:val="Heading3"/>
      </w:pPr>
      <w:r>
        <w:t xml:space="preserve">3.4. Use Phase (Scope 3 - Downstream)</w:t>
      </w:r>
    </w:p>
    <w:p>
      <w:pPr>
        <w:numPr>
          <w:ilvl w:val="0"/>
          <w:numId w:val="1008"/>
        </w:numPr>
        <w:pStyle w:val="Compact"/>
      </w:pPr>
      <w:r>
        <w:rPr>
          <w:bCs/>
          <w:b/>
        </w:rPr>
        <w:t xml:space="preserve">Product Lifespan:</w:t>
      </w:r>
      <w:r>
        <w:t xml:space="preserve"> </w:t>
      </w:r>
      <w:r>
        <w:t xml:space="preserve">gylhdootpr (5 years)</w:t>
      </w:r>
    </w:p>
    <w:p>
      <w:pPr>
        <w:numPr>
          <w:ilvl w:val="0"/>
          <w:numId w:val="1008"/>
        </w:numPr>
        <w:pStyle w:val="Compact"/>
      </w:pPr>
      <w:r>
        <w:rPr>
          <w:bCs/>
          <w:b/>
        </w:rPr>
        <w:t xml:space="preserve">Energy Consumption in Use:</w:t>
      </w:r>
      <w:r>
        <w:t xml:space="preserve"> </w:t>
      </w:r>
      <w:r>
        <w:t xml:space="preserve">usuxufzuwt (10 kWh/year)</w:t>
      </w:r>
    </w:p>
    <w:p>
      <w:pPr>
        <w:numPr>
          <w:ilvl w:val="0"/>
          <w:numId w:val="1008"/>
        </w:numPr>
        <w:pStyle w:val="Compact"/>
      </w:pPr>
      <w:r>
        <w:t xml:space="preserve">The use phase energy consumption is multiplied by a representative grid electricity emission factor for the product\'s typical market, assumed to be Europe (average 0.288-0.3 kg CO₂e/kWh).</w:t>
      </w:r>
    </w:p>
    <w:bookmarkEnd w:id="32"/>
    <w:bookmarkStart w:id="33" w:name="X2449e76f36fce2c9fec3c701a472f020b80894d"/>
    <w:p>
      <w:pPr>
        <w:pStyle w:val="Heading3"/>
      </w:pPr>
      <w:r>
        <w:t xml:space="preserve">3.5. End-of-Life (EoL) Scenarios (Scope 3 - Downstream)</w:t>
      </w:r>
    </w:p>
    <w:p>
      <w:pPr>
        <w:numPr>
          <w:ilvl w:val="0"/>
          <w:numId w:val="1009"/>
        </w:numPr>
        <w:pStyle w:val="Compact"/>
      </w:pPr>
      <w:r>
        <w:rPr>
          <w:bCs/>
          <w:b/>
        </w:rPr>
        <w:t xml:space="preserve">Recyclability Percentage:</w:t>
      </w:r>
      <w:r>
        <w:t xml:space="preserve"> </w:t>
      </w:r>
      <w:r>
        <w:t xml:space="preserve">luezxqlqqy (80%)</w:t>
      </w:r>
    </w:p>
    <w:p>
      <w:pPr>
        <w:numPr>
          <w:ilvl w:val="0"/>
          <w:numId w:val="1009"/>
        </w:numPr>
        <w:pStyle w:val="Compact"/>
      </w:pPr>
      <w:r>
        <w:rPr>
          <w:bCs/>
          <w:b/>
        </w:rPr>
        <w:t xml:space="preserve">Circular/Take-back Programs:</w:t>
      </w:r>
      <w:r>
        <w:t xml:space="preserve"> </w:t>
      </w:r>
      <w:r>
        <w:t xml:space="preserve">pfozhfgfmr (Product take-back program active in major markets)</w:t>
      </w:r>
    </w:p>
    <w:p>
      <w:pPr>
        <w:numPr>
          <w:ilvl w:val="0"/>
          <w:numId w:val="1009"/>
        </w:numPr>
        <w:pStyle w:val="Compact"/>
      </w:pPr>
      <w:r>
        <w:t xml:space="preserve">Emissions from the non-recycled portion are calculated using a disposal/incineration emission factor, estimated around 0.5-2.76 kg CO₂e/kg for plastic waste. The presence of circular programs implies efforts to reduce waste and potentially gain credits from recycling or reuse, though direct quantification of benefits from specific programs is beyond the scope of this general calculation and would require specific data.</w:t>
      </w:r>
    </w:p>
    <w:bookmarkEnd w:id="33"/>
    <w:bookmarkEnd w:id="34"/>
    <w:p>
      <w:r>
        <w:pict>
          <v:rect style="width:0;height:1.5pt" o:hralign="center" o:hrstd="t" o:hr="t"/>
        </w:pict>
      </w:r>
    </w:p>
    <w:bookmarkStart w:id="41" w:name="Xe37424a356285c2cafc0e8c8be92b8ce5257a47"/>
    <w:p>
      <w:pPr>
        <w:pStyle w:val="Heading2"/>
      </w:pPr>
      <w:r>
        <w:t xml:space="preserve">4. Emissions Calculation (Activity * Emission Factor = CO₂e)</w:t>
      </w:r>
    </w:p>
    <w:p>
      <w:pPr>
        <w:pStyle w:val="FirstParagraph"/>
      </w:pPr>
      <w:r>
        <w:t xml:space="preserve">The total Product Carbon Footprint (PCF) for one unit of oynrfwyzsq is calculated by summing the emissions from all life cycle stages, categorized according to the GHG Protocol. All calculations convert greenhouse gases (CO₂, CH₄, N₂O, HFCs, PFCs, SF₆, NF₃) into CO₂ equivalents using their respective Global Warming Potentials (GWP100a).</w:t>
      </w:r>
    </w:p>
    <w:bookmarkStart w:id="38" w:name="X3ebcbfa5ba80dee4311e8a78f8f1c5d701e53cc"/>
    <w:p>
      <w:pPr>
        <w:pStyle w:val="Heading3"/>
      </w:pPr>
      <w:r>
        <w:t xml:space="preserve">4.1. Breakdown by Life Cycle Stage and GHG Scope</w:t>
      </w:r>
    </w:p>
    <w:bookmarkStart w:id="35" w:name="scope-1-emissions-direct-emissions"/>
    <w:p>
      <w:pPr>
        <w:pStyle w:val="Heading4"/>
      </w:pPr>
      <w:r>
        <w:t xml:space="preserve">4.1.1. Scope 1 Emissions (Direct Emissions)</w:t>
      </w:r>
    </w:p>
    <w:p>
      <w:pPr>
        <w:numPr>
          <w:ilvl w:val="0"/>
          <w:numId w:val="1010"/>
        </w:numPr>
        <w:pStyle w:val="Compact"/>
      </w:pPr>
      <w:r>
        <w:rPr>
          <w:bCs/>
          <w:b/>
        </w:rPr>
        <w:t xml:space="preserve">Emissions:</w:t>
      </w:r>
      <w:r>
        <w:t xml:space="preserve"> </w:t>
      </w:r>
      <w:r>
        <w:t xml:space="preserve">0.00 kg CO₂e</w:t>
      </w:r>
    </w:p>
    <w:p>
      <w:pPr>
        <w:numPr>
          <w:ilvl w:val="0"/>
          <w:numId w:val="1010"/>
        </w:numPr>
        <w:pStyle w:val="Compact"/>
      </w:pPr>
      <w:r>
        <w:t xml:space="preserve">For a \'factory_gate\' system boundary with a focus on purchased electricity for manufacturing, direct emissions from owned or controlled sources (e.g., on-site fuel combustion for heating or processes) are assumed to be negligible or not explicitly provided in the given parameters. If direct fuel consumption were significant, it would be accounted for here.</w:t>
      </w:r>
    </w:p>
    <w:bookmarkEnd w:id="35"/>
    <w:bookmarkStart w:id="36" w:name="scope-2-emissions-purchased-energy"/>
    <w:p>
      <w:pPr>
        <w:pStyle w:val="Heading4"/>
      </w:pPr>
      <w:r>
        <w:t xml:space="preserve">4.1.2. Scope 2 Emissions (Purchased Energy)</w:t>
      </w:r>
    </w:p>
    <w:p>
      <w:pPr>
        <w:numPr>
          <w:ilvl w:val="0"/>
          <w:numId w:val="1011"/>
        </w:numPr>
        <w:pStyle w:val="Compact"/>
      </w:pPr>
      <w:r>
        <w:rPr>
          <w:bCs/>
          <w:b/>
        </w:rPr>
        <w:t xml:space="preserve">Manufacturing Energy Consumption:</w:t>
      </w:r>
      <w:r>
        <w:t xml:space="preserve"> </w:t>
      </w:r>
      <w:r>
        <w:t xml:space="preserve">0.75 kWh/unit</w:t>
      </w:r>
    </w:p>
    <w:p>
      <w:pPr>
        <w:numPr>
          <w:ilvl w:val="0"/>
          <w:numId w:val="1011"/>
        </w:numPr>
        <w:pStyle w:val="Compact"/>
      </w:pPr>
      <w:r>
        <w:rPr>
          <w:bCs/>
          <w:b/>
        </w:rPr>
        <w:t xml:space="preserve">Renewable Energy Usage:</w:t>
      </w:r>
      <w:r>
        <w:t xml:space="preserve"> </w:t>
      </w:r>
      <w:r>
        <w:t xml:space="preserve">60%</w:t>
      </w:r>
    </w:p>
    <w:p>
      <w:pPr>
        <w:numPr>
          <w:ilvl w:val="0"/>
          <w:numId w:val="1011"/>
        </w:numPr>
        <w:pStyle w:val="Compact"/>
      </w:pPr>
      <w:r>
        <w:rPr>
          <w:bCs/>
          <w:b/>
        </w:rPr>
        <w:t xml:space="preserve">China Grid Emission Factor:</w:t>
      </w:r>
      <w:r>
        <w:t xml:space="preserve"> </w:t>
      </w:r>
      <w:r>
        <w:t xml:space="preserve">0.6 kg CO₂e/kWh (national average).</w:t>
      </w:r>
    </w:p>
    <w:p>
      <w:pPr>
        <w:numPr>
          <w:ilvl w:val="0"/>
          <w:numId w:val="1011"/>
        </w:numPr>
        <w:pStyle w:val="Compact"/>
      </w:pPr>
      <w:r>
        <w:rPr>
          <w:bCs/>
          <w:b/>
        </w:rPr>
        <w:t xml:space="preserve">Effective Grid Emission Factor:</w:t>
      </w:r>
      <w:r>
        <w:t xml:space="preserve"> </w:t>
      </w:r>
      <w:r>
        <w:t xml:space="preserve">0.6 kg CO₂e/kWh * (1 - 0.60) = 0.24 kg CO₂e/kWh</w:t>
      </w:r>
    </w:p>
    <w:p>
      <w:pPr>
        <w:numPr>
          <w:ilvl w:val="0"/>
          <w:numId w:val="1011"/>
        </w:numPr>
        <w:pStyle w:val="Compact"/>
      </w:pPr>
      <w:r>
        <w:rPr>
          <w:bCs/>
          <w:b/>
        </w:rPr>
        <w:t xml:space="preserve">Emissions:</w:t>
      </w:r>
      <w:r>
        <w:t xml:space="preserve"> </w:t>
      </w:r>
      <w:r>
        <w:t xml:space="preserve">0.75 kWh/unit * 0.24 kg CO₂e/kWh =</w:t>
      </w:r>
      <w:r>
        <w:t xml:space="preserve"> </w:t>
      </w:r>
      <w:r>
        <w:rPr>
          <w:bCs/>
          <w:b/>
        </w:rPr>
        <w:t xml:space="preserve">0.18 kg CO₂e</w:t>
      </w:r>
    </w:p>
    <w:p>
      <w:pPr>
        <w:numPr>
          <w:ilvl w:val="0"/>
          <w:numId w:val="1011"/>
        </w:numPr>
        <w:pStyle w:val="Compact"/>
      </w:pPr>
      <w:r>
        <w:t xml:space="preserve">This represents the indirect GHG emissions from the generation of purchased electricity consumed by qpjgtyjudy\'s manufacturing facility.</w:t>
      </w:r>
    </w:p>
    <w:bookmarkEnd w:id="36"/>
    <w:bookmarkStart w:id="37" w:name="scope-3-emissions-value-chain"/>
    <w:p>
      <w:pPr>
        <w:pStyle w:val="Heading4"/>
      </w:pPr>
      <w:r>
        <w:t xml:space="preserve">4.1.3. Scope 3 Emissions (Value Chain)</w:t>
      </w:r>
    </w:p>
    <w:p>
      <w:pPr>
        <w:pStyle w:val="FirstParagraph"/>
      </w:pPr>
      <w:r>
        <w:t xml:space="preserve">Scope 3 emissions encompass all other indirect emissions occurring in the value chain, both upstream and downstream.</w:t>
      </w:r>
    </w:p>
    <w:p>
      <w:pPr>
        <w:pStyle w:val="BodyText"/>
      </w:pPr>
      <w:r>
        <w:rPr>
          <w:bCs/>
          <w:b/>
        </w:rPr>
        <w:t xml:space="preserve">Upstream Activities:</w:t>
      </w:r>
    </w:p>
    <w:p>
      <w:pPr>
        <w:numPr>
          <w:ilvl w:val="0"/>
          <w:numId w:val="1012"/>
        </w:numPr>
        <w:pStyle w:val="Compact"/>
      </w:pPr>
      <w:r>
        <w:rPr>
          <w:bCs/>
          <w:b/>
        </w:rPr>
        <w:t xml:space="preserve">Materials (from BOM):</w:t>
      </w:r>
    </w:p>
    <w:p>
      <w:pPr>
        <w:numPr>
          <w:ilvl w:val="1"/>
          <w:numId w:val="1013"/>
        </w:numPr>
        <w:pStyle w:val="Compact"/>
      </w:pPr>
      <w:r>
        <w:t xml:space="preserve">Aluminum Casing: 3.75 kg CO₂e</w:t>
      </w:r>
    </w:p>
    <w:p>
      <w:pPr>
        <w:numPr>
          <w:ilvl w:val="1"/>
          <w:numId w:val="1013"/>
        </w:numPr>
        <w:pStyle w:val="Compact"/>
      </w:pPr>
      <w:r>
        <w:t xml:space="preserve">Plastic Enclosure: 0.90 kg CO₂e</w:t>
      </w:r>
    </w:p>
    <w:p>
      <w:pPr>
        <w:numPr>
          <w:ilvl w:val="1"/>
          <w:numId w:val="1013"/>
        </w:numPr>
        <w:pStyle w:val="Compact"/>
      </w:pPr>
      <w:r>
        <w:t xml:space="preserve">Circuit Board: 0.25 kg CO₂e</w:t>
      </w:r>
    </w:p>
    <w:p>
      <w:pPr>
        <w:numPr>
          <w:ilvl w:val="1"/>
          <w:numId w:val="1013"/>
        </w:numPr>
        <w:pStyle w:val="Compact"/>
      </w:pPr>
      <w:r>
        <w:t xml:space="preserve">Copper Wire: 0.80 kg CO₂e</w:t>
      </w:r>
    </w:p>
    <w:p>
      <w:pPr>
        <w:numPr>
          <w:ilvl w:val="1"/>
          <w:numId w:val="1013"/>
        </w:numPr>
        <w:pStyle w:val="Compact"/>
      </w:pPr>
      <w:r>
        <w:t xml:space="preserve">Packaging Cardboard: 0.12 kg CO₂e</w:t>
      </w:r>
    </w:p>
    <w:p>
      <w:pPr>
        <w:numPr>
          <w:ilvl w:val="1"/>
          <w:numId w:val="1013"/>
        </w:numPr>
        <w:pStyle w:val="Compact"/>
      </w:pPr>
      <w:r>
        <w:t xml:space="preserve">Lithium-ion Battery: 0.75 kg CO₂e</w:t>
      </w:r>
    </w:p>
    <w:p>
      <w:pPr>
        <w:numPr>
          <w:ilvl w:val="1"/>
          <w:numId w:val="1013"/>
        </w:numPr>
        <w:pStyle w:val="Compact"/>
      </w:pPr>
      <w:r>
        <w:rPr>
          <w:bCs/>
          <w:b/>
        </w:rPr>
        <w:t xml:space="preserve">Total Material Emissions:</w:t>
      </w:r>
      <w:r>
        <w:t xml:space="preserve"> </w:t>
      </w:r>
      <w:r>
        <w:rPr>
          <w:bCs/>
          <w:b/>
        </w:rPr>
        <w:t xml:space="preserve">6.57 kg CO₂e</w:t>
      </w:r>
    </w:p>
    <w:p>
      <w:pPr>
        <w:numPr>
          <w:ilvl w:val="0"/>
          <w:numId w:val="1012"/>
        </w:numPr>
        <w:pStyle w:val="Compact"/>
      </w:pPr>
      <w:r>
        <w:rPr>
          <w:bCs/>
          <w:b/>
        </w:rPr>
        <w:t xml:space="preserve">Upstream Transportation &amp; Distribution:</w:t>
      </w:r>
    </w:p>
    <w:p>
      <w:pPr>
        <w:numPr>
          <w:ilvl w:val="1"/>
          <w:numId w:val="1014"/>
        </w:numPr>
        <w:pStyle w:val="Compact"/>
      </w:pPr>
      <w:r>
        <w:rPr>
          <w:bCs/>
          <w:b/>
        </w:rPr>
        <w:t xml:space="preserve">Product Weight for Transport:</w:t>
      </w:r>
      <w:r>
        <w:t xml:space="preserve"> </w:t>
      </w:r>
      <w:r>
        <w:t xml:space="preserve">1.35 kg (estimated, including packaging)</w:t>
      </w:r>
    </w:p>
    <w:p>
      <w:pPr>
        <w:numPr>
          <w:ilvl w:val="1"/>
          <w:numId w:val="1014"/>
        </w:numPr>
        <w:pStyle w:val="Compact"/>
      </w:pPr>
      <w:r>
        <w:rPr>
          <w:bCs/>
          <w:b/>
        </w:rPr>
        <w:t xml:space="preserve">Ocean Freight (Select Mode):</w:t>
      </w:r>
    </w:p>
    <w:p>
      <w:pPr>
        <w:numPr>
          <w:ilvl w:val="2"/>
          <w:numId w:val="1015"/>
        </w:numPr>
        <w:pStyle w:val="Compact"/>
      </w:pPr>
      <w:r>
        <w:t xml:space="preserve">Distance: 1500 km</w:t>
      </w:r>
    </w:p>
    <w:p>
      <w:pPr>
        <w:numPr>
          <w:ilvl w:val="2"/>
          <w:numId w:val="1015"/>
        </w:numPr>
        <w:pStyle w:val="Compact"/>
      </w:pPr>
      <w:r>
        <w:t xml:space="preserve">Emission Factor: 0.010 kg CO₂e/tkm (illustrative average).</w:t>
      </w:r>
    </w:p>
    <w:p>
      <w:pPr>
        <w:numPr>
          <w:ilvl w:val="2"/>
          <w:numId w:val="1015"/>
        </w:numPr>
        <w:pStyle w:val="Compact"/>
      </w:pPr>
      <w:r>
        <w:t xml:space="preserve">Emissions: (1500 km * 1.35 kg * 0.010 kg CO₂e/tkm) / 1000 kg/tonne =</w:t>
      </w:r>
      <w:r>
        <w:t xml:space="preserve"> </w:t>
      </w:r>
      <w:r>
        <w:rPr>
          <w:bCs/>
          <w:b/>
        </w:rPr>
        <w:t xml:space="preserve">0.0203 kg CO₂e</w:t>
      </w:r>
    </w:p>
    <w:p>
      <w:pPr>
        <w:numPr>
          <w:ilvl w:val="1"/>
          <w:numId w:val="1014"/>
        </w:numPr>
        <w:pStyle w:val="Compact"/>
      </w:pPr>
      <w:r>
        <w:rPr>
          <w:bCs/>
          <w:b/>
        </w:rPr>
        <w:t xml:space="preserve">Last-Mile Delivery (Road Freight - Delivery Type):</w:t>
      </w:r>
    </w:p>
    <w:p>
      <w:pPr>
        <w:numPr>
          <w:ilvl w:val="2"/>
          <w:numId w:val="1016"/>
        </w:numPr>
        <w:pStyle w:val="Compact"/>
      </w:pPr>
      <w:r>
        <w:t xml:space="preserve">Assumed Distance: 50 km</w:t>
      </w:r>
    </w:p>
    <w:p>
      <w:pPr>
        <w:numPr>
          <w:ilvl w:val="2"/>
          <w:numId w:val="1016"/>
        </w:numPr>
        <w:pStyle w:val="Compact"/>
      </w:pPr>
      <w:r>
        <w:t xml:space="preserve">Emission Factor: 0.15 kg CO₂e/tkm (illustrative average for light commercial vehicle).</w:t>
      </w:r>
    </w:p>
    <w:p>
      <w:pPr>
        <w:numPr>
          <w:ilvl w:val="2"/>
          <w:numId w:val="1016"/>
        </w:numPr>
        <w:pStyle w:val="Compact"/>
      </w:pPr>
      <w:r>
        <w:t xml:space="preserve">Emissions: (50 km * 1.35 kg * 0.15 kg CO₂e/tkm) / 1000 kg/tonne =</w:t>
      </w:r>
      <w:r>
        <w:t xml:space="preserve"> </w:t>
      </w:r>
      <w:r>
        <w:rPr>
          <w:bCs/>
          <w:b/>
        </w:rPr>
        <w:t xml:space="preserve">0.0101 kg CO₂e</w:t>
      </w:r>
    </w:p>
    <w:p>
      <w:pPr>
        <w:numPr>
          <w:ilvl w:val="1"/>
          <w:numId w:val="1014"/>
        </w:numPr>
        <w:pStyle w:val="Compact"/>
      </w:pPr>
      <w:r>
        <w:rPr>
          <w:bCs/>
          <w:b/>
        </w:rPr>
        <w:t xml:space="preserve">Total Transport Emissions:</w:t>
      </w:r>
      <w:r>
        <w:t xml:space="preserve"> </w:t>
      </w:r>
      <w:r>
        <w:t xml:space="preserve">0.0203 + 0.0101 =</w:t>
      </w:r>
      <w:r>
        <w:t xml:space="preserve"> </w:t>
      </w:r>
      <w:r>
        <w:rPr>
          <w:bCs/>
          <w:b/>
        </w:rPr>
        <w:t xml:space="preserve">0.0304 kg CO₂e</w:t>
      </w:r>
    </w:p>
    <w:p>
      <w:pPr>
        <w:pStyle w:val="FirstParagraph"/>
      </w:pPr>
      <w:r>
        <w:rPr>
          <w:bCs/>
          <w:b/>
        </w:rPr>
        <w:t xml:space="preserve">Downstream Activities:</w:t>
      </w:r>
    </w:p>
    <w:p>
      <w:pPr>
        <w:numPr>
          <w:ilvl w:val="0"/>
          <w:numId w:val="1017"/>
        </w:numPr>
        <w:pStyle w:val="Compact"/>
      </w:pPr>
      <w:r>
        <w:rPr>
          <w:bCs/>
          <w:b/>
        </w:rPr>
        <w:t xml:space="preserve">Use Phase (Energy in Use):</w:t>
      </w:r>
    </w:p>
    <w:p>
      <w:pPr>
        <w:numPr>
          <w:ilvl w:val="1"/>
          <w:numId w:val="1018"/>
        </w:numPr>
        <w:pStyle w:val="Compact"/>
      </w:pPr>
      <w:r>
        <w:rPr>
          <w:bCs/>
          <w:b/>
        </w:rPr>
        <w:t xml:space="preserve">Product Lifespan:</w:t>
      </w:r>
      <w:r>
        <w:t xml:space="preserve"> </w:t>
      </w:r>
      <w:r>
        <w:t xml:space="preserve">5 years</w:t>
      </w:r>
    </w:p>
    <w:p>
      <w:pPr>
        <w:numPr>
          <w:ilvl w:val="1"/>
          <w:numId w:val="1018"/>
        </w:numPr>
        <w:pStyle w:val="Compact"/>
      </w:pPr>
      <w:r>
        <w:rPr>
          <w:bCs/>
          <w:b/>
        </w:rPr>
        <w:t xml:space="preserve">Energy Consumption in Use:</w:t>
      </w:r>
      <w:r>
        <w:t xml:space="preserve"> </w:t>
      </w:r>
      <w:r>
        <w:t xml:space="preserve">10 kWh/year</w:t>
      </w:r>
    </w:p>
    <w:p>
      <w:pPr>
        <w:numPr>
          <w:ilvl w:val="1"/>
          <w:numId w:val="1018"/>
        </w:numPr>
        <w:pStyle w:val="Compact"/>
      </w:pPr>
      <w:r>
        <w:rPr>
          <w:bCs/>
          <w:b/>
        </w:rPr>
        <w:t xml:space="preserve">Total Energy Consumption:</w:t>
      </w:r>
      <w:r>
        <w:t xml:space="preserve"> </w:t>
      </w:r>
      <w:r>
        <w:t xml:space="preserve">10 kWh/year * 5 years = 50 kWh</w:t>
      </w:r>
    </w:p>
    <w:p>
      <w:pPr>
        <w:numPr>
          <w:ilvl w:val="1"/>
          <w:numId w:val="1018"/>
        </w:numPr>
        <w:pStyle w:val="Compact"/>
      </w:pPr>
      <w:r>
        <w:rPr>
          <w:bCs/>
          <w:b/>
        </w:rPr>
        <w:t xml:space="preserve">Europe Grid Emission Factor (Use Phase):</w:t>
      </w:r>
      <w:r>
        <w:t xml:space="preserve"> </w:t>
      </w:r>
      <w:r>
        <w:t xml:space="preserve">0.3 kg CO₂e/kWh (illustrative average).</w:t>
      </w:r>
    </w:p>
    <w:p>
      <w:pPr>
        <w:numPr>
          <w:ilvl w:val="1"/>
          <w:numId w:val="1018"/>
        </w:numPr>
        <w:pStyle w:val="Compact"/>
      </w:pPr>
      <w:r>
        <w:rPr>
          <w:bCs/>
          <w:b/>
        </w:rPr>
        <w:t xml:space="preserve">Emissions:</w:t>
      </w:r>
      <w:r>
        <w:t xml:space="preserve"> </w:t>
      </w:r>
      <w:r>
        <w:t xml:space="preserve">50 kWh * 0.3 kg CO₂e/kWh =</w:t>
      </w:r>
      <w:r>
        <w:t xml:space="preserve"> </w:t>
      </w:r>
      <w:r>
        <w:rPr>
          <w:bCs/>
          <w:b/>
        </w:rPr>
        <w:t xml:space="preserve">15.00 kg CO₂e</w:t>
      </w:r>
    </w:p>
    <w:p>
      <w:pPr>
        <w:numPr>
          <w:ilvl w:val="0"/>
          <w:numId w:val="1017"/>
        </w:numPr>
        <w:pStyle w:val="Compact"/>
      </w:pPr>
      <w:r>
        <w:rPr>
          <w:bCs/>
          <w:b/>
        </w:rPr>
        <w:t xml:space="preserve">End-of-Life (EoL):</w:t>
      </w:r>
    </w:p>
    <w:p>
      <w:pPr>
        <w:numPr>
          <w:ilvl w:val="1"/>
          <w:numId w:val="1019"/>
        </w:numPr>
        <w:pStyle w:val="Compact"/>
      </w:pPr>
      <w:r>
        <w:rPr>
          <w:bCs/>
          <w:b/>
        </w:rPr>
        <w:t xml:space="preserve">Product Weight:</w:t>
      </w:r>
      <w:r>
        <w:t xml:space="preserve"> </w:t>
      </w:r>
      <w:r>
        <w:t xml:space="preserve">1.35 kg</w:t>
      </w:r>
    </w:p>
    <w:p>
      <w:pPr>
        <w:numPr>
          <w:ilvl w:val="1"/>
          <w:numId w:val="1019"/>
        </w:numPr>
        <w:pStyle w:val="Compact"/>
      </w:pPr>
      <w:r>
        <w:rPr>
          <w:bCs/>
          <w:b/>
        </w:rPr>
        <w:t xml:space="preserve">Recyclability Percentage:</w:t>
      </w:r>
      <w:r>
        <w:t xml:space="preserve"> </w:t>
      </w:r>
      <w:r>
        <w:t xml:space="preserve">80%</w:t>
      </w:r>
    </w:p>
    <w:p>
      <w:pPr>
        <w:numPr>
          <w:ilvl w:val="1"/>
          <w:numId w:val="1019"/>
        </w:numPr>
        <w:pStyle w:val="Compact"/>
      </w:pPr>
      <w:r>
        <w:rPr>
          <w:bCs/>
          <w:b/>
        </w:rPr>
        <w:t xml:space="preserve">Non-recycled Waste Portion:</w:t>
      </w:r>
      <w:r>
        <w:t xml:space="preserve"> </w:t>
      </w:r>
      <w:r>
        <w:t xml:space="preserve">1.35 kg * (1 - 0.80) = 0.27 kg</w:t>
      </w:r>
    </w:p>
    <w:p>
      <w:pPr>
        <w:numPr>
          <w:ilvl w:val="1"/>
          <w:numId w:val="1019"/>
        </w:numPr>
        <w:pStyle w:val="Compact"/>
      </w:pPr>
      <w:r>
        <w:rPr>
          <w:bCs/>
          <w:b/>
        </w:rPr>
        <w:t xml:space="preserve">Disposal/Incineration Emission Factor:</w:t>
      </w:r>
      <w:r>
        <w:t xml:space="preserve"> </w:t>
      </w:r>
      <w:r>
        <w:t xml:space="preserve">0.5 kg CO₂e/kg (illustrative average for non-recycled waste).</w:t>
      </w:r>
    </w:p>
    <w:p>
      <w:pPr>
        <w:numPr>
          <w:ilvl w:val="1"/>
          <w:numId w:val="1019"/>
        </w:numPr>
        <w:pStyle w:val="Compact"/>
      </w:pPr>
      <w:r>
        <w:rPr>
          <w:bCs/>
          <w:b/>
        </w:rPr>
        <w:t xml:space="preserve">Emissions:</w:t>
      </w:r>
      <w:r>
        <w:t xml:space="preserve"> </w:t>
      </w:r>
      <w:r>
        <w:t xml:space="preserve">0.27 kg * 0.5 kg CO₂e/kg =</w:t>
      </w:r>
      <w:r>
        <w:t xml:space="preserve"> </w:t>
      </w:r>
      <w:r>
        <w:rPr>
          <w:bCs/>
          <w:b/>
        </w:rPr>
        <w:t xml:space="preserve">0.135 kg CO₂e</w:t>
      </w:r>
    </w:p>
    <w:p>
      <w:pPr>
        <w:numPr>
          <w:ilvl w:val="1"/>
          <w:numId w:val="1019"/>
        </w:numPr>
        <w:pStyle w:val="Compact"/>
      </w:pPr>
      <w:r>
        <w:t xml:space="preserve">The presence of "Product take-back program active in major markets" (pfozhfgfmr) indicates efforts to manage the end-of-life responsibly, potentially reducing actual emissions or enabling material recovery.</w:t>
      </w:r>
    </w:p>
    <w:bookmarkEnd w:id="37"/>
    <w:bookmarkEnd w:id="38"/>
    <w:bookmarkStart w:id="39" w:name="summary-of-product-carbon-footprint-pcf"/>
    <w:p>
      <w:pPr>
        <w:pStyle w:val="Heading3"/>
      </w:pPr>
      <w:r>
        <w:t xml:space="preserve">4.2. Summary of Product Carbon Footprint (PCF)</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 Cycle Stage</w:t>
            </w:r>
          </w:p>
        </w:tc>
        <w:tc>
          <w:tcPr/>
          <w:p>
            <w:pPr>
              <w:pStyle w:val="Compact"/>
              <w:jc w:val="left"/>
            </w:pPr>
            <w:r>
              <w:t xml:space="preserve">GHG Scope</w:t>
            </w:r>
          </w:p>
        </w:tc>
        <w:tc>
          <w:tcPr/>
          <w:p>
            <w:pPr>
              <w:pStyle w:val="Compact"/>
              <w:jc w:val="left"/>
            </w:pPr>
            <w:r>
              <w:t xml:space="preserve">Emissions (kg CO₂e)</w:t>
            </w:r>
          </w:p>
        </w:tc>
        <w:tc>
          <w:tcPr/>
          <w:p>
            <w:pPr>
              <w:pStyle w:val="Compact"/>
              <w:jc w:val="left"/>
            </w:pPr>
            <w:r>
              <w:t xml:space="preserve">Percentage of Total</w:t>
            </w:r>
          </w:p>
        </w:tc>
      </w:tr>
      <w:tr>
        <w:tc>
          <w:tcPr/>
          <w:p>
            <w:pPr>
              <w:pStyle w:val="Compact"/>
              <w:jc w:val="left"/>
            </w:pPr>
            <w:r>
              <w:t xml:space="preserve">Materials (Upstream)</w:t>
            </w:r>
          </w:p>
        </w:tc>
        <w:tc>
          <w:tcPr/>
          <w:p>
            <w:pPr>
              <w:pStyle w:val="Compact"/>
              <w:jc w:val="left"/>
            </w:pPr>
            <w:r>
              <w:t xml:space="preserve">Scope 3</w:t>
            </w:r>
          </w:p>
        </w:tc>
        <w:tc>
          <w:tcPr/>
          <w:p>
            <w:pPr>
              <w:pStyle w:val="Compact"/>
              <w:jc w:val="left"/>
            </w:pPr>
            <w:r>
              <w:t xml:space="preserve">6.57</w:t>
            </w:r>
          </w:p>
        </w:tc>
        <w:tc>
          <w:tcPr/>
          <w:p>
            <w:pPr>
              <w:pStyle w:val="Compact"/>
              <w:jc w:val="left"/>
            </w:pPr>
            <w:r>
              <w:t xml:space="preserve">29.98%</w:t>
            </w:r>
          </w:p>
        </w:tc>
      </w:tr>
      <w:tr>
        <w:tc>
          <w:tcPr/>
          <w:p>
            <w:pPr>
              <w:pStyle w:val="Compact"/>
              <w:jc w:val="left"/>
            </w:pPr>
            <w:r>
              <w:t xml:space="preserve">Manufacturing (Purchased Energy)</w:t>
            </w:r>
          </w:p>
        </w:tc>
        <w:tc>
          <w:tcPr/>
          <w:p>
            <w:pPr>
              <w:pStyle w:val="Compact"/>
              <w:jc w:val="left"/>
            </w:pPr>
            <w:r>
              <w:t xml:space="preserve">Scope 2</w:t>
            </w:r>
          </w:p>
        </w:tc>
        <w:tc>
          <w:tcPr/>
          <w:p>
            <w:pPr>
              <w:pStyle w:val="Compact"/>
              <w:jc w:val="left"/>
            </w:pPr>
            <w:r>
              <w:t xml:space="preserve">0.18</w:t>
            </w:r>
          </w:p>
        </w:tc>
        <w:tc>
          <w:tcPr/>
          <w:p>
            <w:pPr>
              <w:pStyle w:val="Compact"/>
              <w:jc w:val="left"/>
            </w:pPr>
            <w:r>
              <w:t xml:space="preserve">0.82%</w:t>
            </w:r>
          </w:p>
        </w:tc>
      </w:tr>
      <w:tr>
        <w:tc>
          <w:tcPr/>
          <w:p>
            <w:pPr>
              <w:pStyle w:val="Compact"/>
              <w:jc w:val="left"/>
            </w:pPr>
            <w:r>
              <w:t xml:space="preserve">Transport &amp; Distribution (Upstream)</w:t>
            </w:r>
          </w:p>
        </w:tc>
        <w:tc>
          <w:tcPr/>
          <w:p>
            <w:pPr>
              <w:pStyle w:val="Compact"/>
              <w:jc w:val="left"/>
            </w:pPr>
            <w:r>
              <w:t xml:space="preserve">Scope 3</w:t>
            </w:r>
          </w:p>
        </w:tc>
        <w:tc>
          <w:tcPr/>
          <w:p>
            <w:pPr>
              <w:pStyle w:val="Compact"/>
              <w:jc w:val="left"/>
            </w:pPr>
            <w:r>
              <w:t xml:space="preserve">0.03</w:t>
            </w:r>
          </w:p>
        </w:tc>
        <w:tc>
          <w:tcPr/>
          <w:p>
            <w:pPr>
              <w:pStyle w:val="Compact"/>
              <w:jc w:val="left"/>
            </w:pPr>
            <w:r>
              <w:t xml:space="preserve">0.14%</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15.00</w:t>
            </w:r>
          </w:p>
        </w:tc>
        <w:tc>
          <w:tcPr/>
          <w:p>
            <w:pPr>
              <w:pStyle w:val="Compact"/>
              <w:jc w:val="left"/>
            </w:pPr>
            <w:r>
              <w:t xml:space="preserve">68.45%</w:t>
            </w:r>
          </w:p>
        </w:tc>
      </w:tr>
      <w:tr>
        <w:tc>
          <w:tcPr/>
          <w:p>
            <w:pPr>
              <w:pStyle w:val="Compact"/>
              <w:jc w:val="left"/>
            </w:pPr>
            <w:r>
              <w:t xml:space="preserve">End-of-Life</w:t>
            </w:r>
          </w:p>
        </w:tc>
        <w:tc>
          <w:tcPr/>
          <w:p>
            <w:pPr>
              <w:pStyle w:val="Compact"/>
              <w:jc w:val="left"/>
            </w:pPr>
            <w:r>
              <w:t xml:space="preserve">Scope 3</w:t>
            </w:r>
          </w:p>
        </w:tc>
        <w:tc>
          <w:tcPr/>
          <w:p>
            <w:pPr>
              <w:pStyle w:val="Compact"/>
              <w:jc w:val="left"/>
            </w:pPr>
            <w:r>
              <w:t xml:space="preserve">0.14</w:t>
            </w:r>
          </w:p>
        </w:tc>
        <w:tc>
          <w:tcPr/>
          <w:p>
            <w:pPr>
              <w:pStyle w:val="Compact"/>
              <w:jc w:val="left"/>
            </w:pPr>
            <w:r>
              <w:t xml:space="preserve">0.64%</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21.92</w:t>
            </w:r>
          </w:p>
        </w:tc>
        <w:tc>
          <w:tcPr/>
          <w:p>
            <w:pPr>
              <w:pStyle w:val="Compact"/>
              <w:jc w:val="left"/>
            </w:pPr>
            <w:r>
              <w:rPr>
                <w:bCs/>
                <w:b/>
              </w:rPr>
              <w:t xml:space="preserve">100.00%</w:t>
            </w:r>
          </w:p>
        </w:tc>
      </w:tr>
    </w:tbl>
    <w:bookmarkEnd w:id="39"/>
    <w:bookmarkStart w:id="40" w:name="ghg-scope-summary"/>
    <w:p>
      <w:pPr>
        <w:pStyle w:val="Heading3"/>
      </w:pPr>
      <w:r>
        <w:t xml:space="preserve">4.3. GHG Scope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CO₂e)</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0.18</w:t>
            </w:r>
          </w:p>
        </w:tc>
        <w:tc>
          <w:tcPr/>
          <w:p>
            <w:pPr>
              <w:pStyle w:val="Compact"/>
              <w:jc w:val="left"/>
            </w:pPr>
            <w:r>
              <w:t xml:space="preserve">0.82%</w:t>
            </w:r>
          </w:p>
        </w:tc>
      </w:tr>
      <w:tr>
        <w:tc>
          <w:tcPr/>
          <w:p>
            <w:pPr>
              <w:pStyle w:val="Compact"/>
              <w:jc w:val="left"/>
            </w:pPr>
            <w:r>
              <w:t xml:space="preserve">Scope 3 (Value Chain)</w:t>
            </w:r>
          </w:p>
        </w:tc>
        <w:tc>
          <w:tcPr/>
          <w:p>
            <w:pPr>
              <w:pStyle w:val="Compact"/>
              <w:jc w:val="left"/>
            </w:pPr>
            <w:r>
              <w:t xml:space="preserve">21.74</w:t>
            </w:r>
          </w:p>
        </w:tc>
        <w:tc>
          <w:tcPr/>
          <w:p>
            <w:pPr>
              <w:pStyle w:val="Compact"/>
              <w:jc w:val="left"/>
            </w:pPr>
            <w:r>
              <w:t xml:space="preserve">99.18%</w:t>
            </w:r>
          </w:p>
        </w:tc>
      </w:tr>
      <w:tr>
        <w:tc>
          <w:tcPr/>
          <w:p>
            <w:pPr>
              <w:pStyle w:val="Compact"/>
              <w:jc w:val="left"/>
            </w:pPr>
            <w:r>
              <w:rPr>
                <w:bCs/>
                <w:b/>
              </w:rPr>
              <w:t xml:space="preserve">TOTAL PCF</w:t>
            </w:r>
          </w:p>
        </w:tc>
        <w:tc>
          <w:tcPr/>
          <w:p>
            <w:pPr>
              <w:pStyle w:val="Compact"/>
              <w:jc w:val="left"/>
            </w:pPr>
            <w:r>
              <w:rPr>
                <w:bCs/>
                <w:b/>
              </w:rPr>
              <w:t xml:space="preserve">21.92</w:t>
            </w:r>
          </w:p>
        </w:tc>
        <w:tc>
          <w:tcPr/>
          <w:p>
            <w:pPr>
              <w:pStyle w:val="Compact"/>
              <w:jc w:val="left"/>
            </w:pPr>
            <w:r>
              <w:rPr>
                <w:bCs/>
                <w:b/>
              </w:rPr>
              <w:t xml:space="preserve">100.00%</w:t>
            </w:r>
          </w:p>
        </w:tc>
      </w:tr>
    </w:tbl>
    <w:p>
      <w:pPr>
        <w:pStyle w:val="BodyText"/>
      </w:pPr>
      <w:r>
        <w:t xml:space="preserve">The calculated Scope 3 emissions represent approximately 99.18% of the total PCF, significantly exceeding the 95% coverage requirement for 2026, demonstrating a comprehensive assessment of the value chain.</w:t>
      </w:r>
    </w:p>
    <w:bookmarkEnd w:id="40"/>
    <w:bookmarkEnd w:id="41"/>
    <w:p>
      <w:r>
        <w:pict>
          <v:rect style="width:0;height:1.5pt" o:hralign="center" o:hrstd="t" o:hr="t"/>
        </w:pict>
      </w:r>
    </w:p>
    <w:bookmarkStart w:id="45" w:name="review-report"/>
    <w:p>
      <w:pPr>
        <w:pStyle w:val="Heading2"/>
      </w:pPr>
      <w:r>
        <w:t xml:space="preserve">5. Review &amp; Report</w:t>
      </w:r>
    </w:p>
    <w:bookmarkStart w:id="42" w:name="emission-hotspots"/>
    <w:p>
      <w:pPr>
        <w:pStyle w:val="Heading3"/>
      </w:pPr>
      <w:r>
        <w:t xml:space="preserve">5.1. Emission Hotspots</w:t>
      </w:r>
    </w:p>
    <w:p>
      <w:pPr>
        <w:pStyle w:val="FirstParagraph"/>
      </w:pPr>
      <w:r>
        <w:t xml:space="preserve">The PCF analysis for oynrfwyzsq reveals the following key emission hotspots:</w:t>
      </w:r>
    </w:p>
    <w:p>
      <w:pPr>
        <w:numPr>
          <w:ilvl w:val="0"/>
          <w:numId w:val="1020"/>
        </w:numPr>
        <w:pStyle w:val="Compact"/>
      </w:pPr>
      <w:r>
        <w:rPr>
          <w:bCs/>
          <w:b/>
        </w:rPr>
        <w:t xml:space="preserve">Use Phase (68.45%):</w:t>
      </w:r>
      <w:r>
        <w:t xml:space="preserve"> </w:t>
      </w:r>
      <w:r>
        <w:t xml:space="preserve">The most significant contributor to the product\'s carbon footprint is the energy consumed during its 5-year lifespan. This highlights the critical importance of designing energy-efficient products and educating consumers on sustainable usage.</w:t>
      </w:r>
    </w:p>
    <w:p>
      <w:pPr>
        <w:numPr>
          <w:ilvl w:val="0"/>
          <w:numId w:val="1020"/>
        </w:numPr>
        <w:pStyle w:val="Compact"/>
      </w:pPr>
      <w:r>
        <w:rPr>
          <w:bCs/>
          <w:b/>
        </w:rPr>
        <w:t xml:space="preserve">Materials (29.98%):</w:t>
      </w:r>
      <w:r>
        <w:t xml:space="preserve"> </w:t>
      </w:r>
      <w:r>
        <w:t xml:space="preserve">The production of raw materials, particularly Aluminum and Lithium-ion Battery, contributes substantially to upstream emissions. This indicates a need for exploring lower-carbon material alternatives, increasing recycled content, or working with suppliers on decarbonization efforts.</w:t>
      </w:r>
    </w:p>
    <w:p>
      <w:pPr>
        <w:numPr>
          <w:ilvl w:val="0"/>
          <w:numId w:val="1020"/>
        </w:numPr>
        <w:pStyle w:val="Compact"/>
      </w:pPr>
      <w:r>
        <w:rPr>
          <w:bCs/>
          <w:b/>
        </w:rPr>
        <w:t xml:space="preserve">Manufacturing (0.82%), Transport (0.14%), and End-of-Life (0.64%):</w:t>
      </w:r>
      <w:r>
        <w:t xml:space="preserve"> </w:t>
      </w:r>
      <w:r>
        <w:t xml:space="preserve">While individually smaller, these stages still offer opportunities for optimization through renewable energy adoption in manufacturing, efficient logistics planning, and enhancing circular economy initiatives.</w:t>
      </w:r>
    </w:p>
    <w:bookmarkEnd w:id="42"/>
    <w:bookmarkStart w:id="43" w:name="reliability-and-limitations"/>
    <w:p>
      <w:pPr>
        <w:pStyle w:val="Heading3"/>
      </w:pPr>
      <w:r>
        <w:t xml:space="preserve">5.2. Reliability and Limitations</w:t>
      </w:r>
    </w:p>
    <w:p>
      <w:pPr>
        <w:numPr>
          <w:ilvl w:val="0"/>
          <w:numId w:val="1021"/>
        </w:numPr>
        <w:pStyle w:val="Compact"/>
      </w:pPr>
      <w:r>
        <w:t xml:space="preserve">The report utilizes a hybrid approach, combining specific data from the provided BOM and energy customization with industry-average emission factors for transportation, use phase energy, and end-of-life scenarios.</w:t>
      </w:r>
    </w:p>
    <w:p>
      <w:pPr>
        <w:numPr>
          <w:ilvl w:val="0"/>
          <w:numId w:val="1021"/>
        </w:numPr>
        <w:pStyle w:val="Compact"/>
      </w:pPr>
      <w:r>
        <w:t xml:space="preserve">The accuracy of the PCF is dependent on the quality and specificity of the underlying data. While the provided BOM offers high-accuracy material impact, generic emission factors for certain stages (e.g., specific transport routes, regional grid mixes for use phase) introduce some level of uncertainty.</w:t>
      </w:r>
    </w:p>
    <w:p>
      <w:pPr>
        <w:numPr>
          <w:ilvl w:val="0"/>
          <w:numId w:val="1021"/>
        </w:numPr>
        <w:pStyle w:val="Compact"/>
      </w:pPr>
      <w:r>
        <w:t xml:space="preserve">The application of the 2026 Land Sector and Removals (LSR) Standard is acknowledged conceptually, but detailed quantification of land-use emissions or removals requires more specific activity data not available in the current parameters. Future iterations should incorporate primary data related to land use where applicable.</w:t>
      </w:r>
    </w:p>
    <w:p>
      <w:pPr>
        <w:numPr>
          <w:ilvl w:val="0"/>
          <w:numId w:val="1021"/>
        </w:numPr>
        <w:pStyle w:val="Compact"/>
      </w:pPr>
      <w:r>
        <w:t xml:space="preserve">The calculation assumes cradle-to-grave boundaries. A more detailed assessment might consider the specific impacts of "Product take-back program active in major markets" (pfozhfgfmr) for potential avoided emissions from recycling and reuse.</w:t>
      </w:r>
    </w:p>
    <w:bookmarkEnd w:id="43"/>
    <w:bookmarkStart w:id="44" w:name="recommendations-for-decarbonization"/>
    <w:p>
      <w:pPr>
        <w:pStyle w:val="Heading3"/>
      </w:pPr>
      <w:r>
        <w:t xml:space="preserve">5.3. Recommendations for Decarbonization</w:t>
      </w:r>
    </w:p>
    <w:p>
      <w:pPr>
        <w:numPr>
          <w:ilvl w:val="0"/>
          <w:numId w:val="1022"/>
        </w:numPr>
        <w:pStyle w:val="Compact"/>
      </w:pPr>
      <w:r>
        <w:rPr>
          <w:bCs/>
          <w:b/>
        </w:rPr>
        <w:t xml:space="preserve">Optimize Use Phase:</w:t>
      </w:r>
      <w:r>
        <w:t xml:space="preserve"> </w:t>
      </w:r>
      <w:r>
        <w:t xml:space="preserve">Invest in R&amp;D for enhanced energy efficiency of oynrfwyzsq during its operational life. Explore smart features or power-saving modes.</w:t>
      </w:r>
    </w:p>
    <w:p>
      <w:pPr>
        <w:numPr>
          <w:ilvl w:val="0"/>
          <w:numId w:val="1022"/>
        </w:numPr>
        <w:pStyle w:val="Compact"/>
      </w:pPr>
      <w:r>
        <w:rPr>
          <w:bCs/>
          <w:b/>
        </w:rPr>
        <w:t xml:space="preserve">Sustainable Material Sourcing:</w:t>
      </w:r>
      <w:r>
        <w:t xml:space="preserve"> </w:t>
      </w:r>
      <w:r>
        <w:t xml:space="preserve">Collaborate with suppliers to reduce the embodied carbon of high-impact materials (Aluminum, Lithium-ion Battery) by seeking low-carbon production methods, increasing recycled content, or exploring alternative materials.</w:t>
      </w:r>
    </w:p>
    <w:p>
      <w:pPr>
        <w:numPr>
          <w:ilvl w:val="0"/>
          <w:numId w:val="1022"/>
        </w:numPr>
        <w:pStyle w:val="Compact"/>
      </w:pPr>
      <w:r>
        <w:rPr>
          <w:bCs/>
          <w:b/>
        </w:rPr>
        <w:t xml:space="preserve">Circular Economy Integration:</w:t>
      </w:r>
      <w:r>
        <w:t xml:space="preserve"> </w:t>
      </w:r>
      <w:r>
        <w:t xml:space="preserve">Further expand and promote the existing product take-back programs (pfozhfgfmr) to maximize recyclability (luezxqlqqy) and explore repair and reuse models to extend product lifespan.</w:t>
      </w:r>
    </w:p>
    <w:p>
      <w:pPr>
        <w:numPr>
          <w:ilvl w:val="0"/>
          <w:numId w:val="1022"/>
        </w:numPr>
        <w:pStyle w:val="Compact"/>
      </w:pPr>
      <w:r>
        <w:rPr>
          <w:bCs/>
          <w:b/>
        </w:rPr>
        <w:t xml:space="preserve">Renewable Energy Transition:</w:t>
      </w:r>
      <w:r>
        <w:t xml:space="preserve"> </w:t>
      </w:r>
      <w:r>
        <w:t xml:space="preserve">Continue to increase renewable energy usage in manufacturing processes and consider advocating for cleaner grid mixes in supply chain and use phase regions.</w:t>
      </w:r>
    </w:p>
    <w:p>
      <w:pPr>
        <w:numPr>
          <w:ilvl w:val="0"/>
          <w:numId w:val="1022"/>
        </w:numPr>
        <w:pStyle w:val="Compact"/>
      </w:pPr>
      <w:r>
        <w:rPr>
          <w:bCs/>
          <w:b/>
        </w:rPr>
        <w:t xml:space="preserve">Logistics Optimization:</w:t>
      </w:r>
      <w:r>
        <w:t xml:space="preserve"> </w:t>
      </w:r>
      <w:r>
        <w:t xml:space="preserve">Regularly review and optimize transport modes and routes to minimize emissions, prioritizing lower-carbon options where feasible.</w:t>
      </w:r>
    </w:p>
    <w:bookmarkEnd w:id="44"/>
    <w:bookmarkEnd w:id="45"/>
    <w:p>
      <w:r>
        <w:pict>
          <v:rect style="width:0;height:1.5pt" o:hralign="center" o:hrstd="t" o:hr="t"/>
        </w:pict>
      </w:r>
    </w:p>
    <w:p>
      <w:pPr>
        <w:pStyle w:val="FirstParagraph"/>
      </w:pPr>
      <w:r>
        <w:t xml:space="preserve">Confidential - Internal Use Only | Page</w:t>
      </w:r>
      <w:r>
        <w:t xml:space="preserve"> </w:t>
      </w:r>
      <w:bookmarkStart w:id="46" w:name="page-number"/>
      <w:bookmarkEnd w:id="46"/>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oynrfwyzsq</dc:title>
  <dc:creator/>
  <dc:description>High-detail Product Carbon Footprint (PCF) analysis for product oynrfwyzsq by Senior Sustainability Consultant ggyusvwgju for qpjgtyjudy, adhering to GHG Protocol and 2026 LSR Update.</dc:description>
  <dc:language>en</dc:language>
  <cp:keywords/>
  <dcterms:created xsi:type="dcterms:W3CDTF">2026-05-30T16:51:10Z</dcterms:created>
  <dcterms:modified xsi:type="dcterms:W3CDTF">2026-05-30T16:51:10Z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