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oylkvxxomn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oylkvxxomn</w:t>
      </w:r>
    </w:p>
    <w:p>
      <w:pPr>
        <w:pStyle w:val="BodyText"/>
      </w:pPr>
      <w:r>
        <w:t xml:space="preserve">Company: yrsktqfplz</w:t>
      </w:r>
    </w:p>
    <w:p>
      <w:pPr>
        <w:pStyle w:val="BodyText"/>
      </w:pPr>
      <w:r>
        <w:t xml:space="preserve">Protocol Data (Accounting Standard): GHG Protocol</w:t>
      </w:r>
    </w:p>
    <w:p>
      <w:pPr>
        <w:pStyle w:val="BodyText"/>
      </w:pPr>
      <w:r>
        <w:t xml:space="preserve">Senior Sustainability Consultant: voftwxpeux</w:t>
      </w:r>
    </w:p>
    <w:p>
      <w:pPr>
        <w:pStyle w:val="BodyText"/>
      </w:pPr>
      <w:r>
        <w:t xml:space="preserve">Disclaimer: This report is generated based on available data and industry standards. While efforts have been made to ensure accuracy and adherence to the GHG Protocol, actual emissions may vary depending on specific operational details and evolving methodologies.</w:t>
      </w:r>
    </w:p>
    <w:bookmarkEnd w:id="20"/>
    <w:bookmarkStart w:id="21" w:name="X1bc11b6e9b7df28c57d92878670237f1f388f4a"/>
    <w:p>
      <w:pPr>
        <w:pStyle w:val="Heading1"/>
      </w:pPr>
      <w:r>
        <w:t xml:space="preserve">Product Carbon Footprint Analysis for oylkvxxomn</w:t>
      </w:r>
    </w:p>
    <w:p>
      <w:pPr>
        <w:pStyle w:val="FirstParagraph"/>
      </w:pPr>
      <w:r>
        <w:t xml:space="preserve">Generated Date: Thursday, June 4,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oylkvxxomn</w:t>
      </w:r>
      <w:r>
        <w:t xml:space="preserve">, manufactured by</w:t>
      </w:r>
      <w:r>
        <w:t xml:space="preserve"> </w:t>
      </w:r>
      <w:r>
        <w:rPr>
          <w:bCs/>
          <w:b/>
        </w:rPr>
        <w:t xml:space="preserve">yrsktqfplz</w:t>
      </w:r>
      <w:r>
        <w:t xml:space="preserve">. The analysis, conducted by Senior Sustainability Consultant</w:t>
      </w:r>
      <w:r>
        <w:t xml:space="preserve"> </w:t>
      </w:r>
      <w:r>
        <w:rPr>
          <w:bCs/>
          <w:b/>
        </w:rPr>
        <w:t xml:space="preserve">voftwxpeux</w:t>
      </w:r>
      <w:r>
        <w:t xml:space="preserve">, adheres strictly to the</w:t>
      </w:r>
      <w:r>
        <w:t xml:space="preserve"> </w:t>
      </w:r>
      <w:r>
        <w:rPr>
          <w:bCs/>
          <w:b/>
        </w:rPr>
        <w:t xml:space="preserve">GHG Protocol</w:t>
      </w:r>
      <w:r>
        <w:t xml:space="preserve"> </w:t>
      </w:r>
      <w:r>
        <w:t xml:space="preserve">standards, including the latest 2026 Land Sector and Removals (LSR) update and robust Scope 3 compliance requirements. The total carbon footprint for one functional unit of</w:t>
      </w:r>
      <w:r>
        <w:t xml:space="preserve"> </w:t>
      </w:r>
      <w:r>
        <w:rPr>
          <w:bCs/>
          <w:b/>
        </w:rPr>
        <w:t xml:space="preserve">oylkvxxomn</w:t>
      </w:r>
      <w:r>
        <w:t xml:space="preserve"> </w:t>
      </w:r>
      <w:r>
        <w:t xml:space="preserve">is calculated to be</w:t>
      </w:r>
      <w:r>
        <w:t xml:space="preserve"> </w:t>
      </w:r>
      <w:r>
        <w:rPr>
          <w:bCs/>
          <w:b/>
        </w:rPr>
        <w:t xml:space="preserve">38.79 kg CO₂e</w:t>
      </w:r>
      <w:r>
        <w:t xml:space="preserve">. This report identifies key emission hotspots across the product\'s lifecycle, from raw material acquisition to end-of-life, providing a foundation for targeted decarbonization efforts.</w:t>
      </w:r>
    </w:p>
    <w:p>
      <w:r>
        <w:pict>
          <v:rect style="width:0;height:1.5pt" o:hralign="center" o:hrstd="t" o:hr="t"/>
        </w:pict>
      </w:r>
    </w:p>
    <w:bookmarkEnd w:id="22"/>
    <w:bookmarkStart w:id="27" w:name="methodology-and-scope-definition"/>
    <w:p>
      <w:pPr>
        <w:pStyle w:val="Heading2"/>
      </w:pPr>
      <w:r>
        <w:t xml:space="preserve">2. Methodology and Scope Definition</w:t>
      </w:r>
    </w:p>
    <w:p>
      <w:pPr>
        <w:pStyle w:val="FirstParagraph"/>
      </w:pPr>
      <w:r>
        <w:t xml:space="preserve">The Product Carbon Footprint (PCF) for</w:t>
      </w:r>
      <w:r>
        <w:t xml:space="preserve"> </w:t>
      </w:r>
      <w:r>
        <w:rPr>
          <w:bCs/>
          <w:b/>
        </w:rPr>
        <w:t xml:space="preserve">oylkvxxomn</w:t>
      </w:r>
      <w:r>
        <w:t xml:space="preserve"> </w:t>
      </w:r>
      <w:r>
        <w:t xml:space="preserve">has been calculated following the five-step methodology as per the GHG Protocol Product Standard.</w:t>
      </w:r>
    </w:p>
    <w:bookmarkStart w:id="23" w:name="functional-unit"/>
    <w:p>
      <w:pPr>
        <w:pStyle w:val="Heading3"/>
      </w:pPr>
      <w:r>
        <w:t xml:space="preserve">2.1. Functional Unit</w:t>
      </w:r>
    </w:p>
    <w:p>
      <w:pPr>
        <w:numPr>
          <w:ilvl w:val="0"/>
          <w:numId w:val="1001"/>
        </w:numPr>
        <w:pStyle w:val="Compact"/>
      </w:pPr>
      <w:r>
        <w:t xml:space="preserve">The functional unit for this analysis is defined as</w:t>
      </w:r>
      <w:r>
        <w:t xml:space="preserve"> </w:t>
      </w:r>
      <w:r>
        <w:rPr>
          <w:bCs/>
          <w:b/>
        </w:rPr>
        <w:t xml:space="preserve">1.0 unit</w:t>
      </w:r>
      <w:r>
        <w:t xml:space="preserve"> </w:t>
      </w:r>
      <w:r>
        <w:t xml:space="preserve">of</w:t>
      </w:r>
      <w:r>
        <w:t xml:space="preserve"> </w:t>
      </w:r>
      <w:r>
        <w:rPr>
          <w:bCs/>
          <w:b/>
        </w:rPr>
        <w:t xml:space="preserve">oylkvxxomn</w:t>
      </w:r>
      <w:r>
        <w:t xml:space="preserve">.</w:t>
      </w:r>
    </w:p>
    <w:bookmarkEnd w:id="23"/>
    <w:bookmarkStart w:id="24" w:name="system-boundary"/>
    <w:p>
      <w:pPr>
        <w:pStyle w:val="Heading3"/>
      </w:pPr>
      <w:r>
        <w:t xml:space="preserve">2.2. System Boundary</w:t>
      </w:r>
    </w:p>
    <w:p>
      <w:pPr>
        <w:numPr>
          <w:ilvl w:val="0"/>
          <w:numId w:val="1002"/>
        </w:numPr>
        <w:pStyle w:val="Compact"/>
      </w:pPr>
      <w:r>
        <w:t xml:space="preserve">The system boundary is set as</w:t>
      </w:r>
      <w:r>
        <w:t xml:space="preserve"> </w:t>
      </w:r>
      <w:r>
        <w:rPr>
          <w:bCs/>
          <w:b/>
        </w:rPr>
        <w:t xml:space="preserve">\'factory_gate\'</w:t>
      </w:r>
      <w:r>
        <w:t xml:space="preserve">, encompassing all upstream processes from raw material extraction, manufacturing, and transport to the factory, manufacturing processes at the factory, and onward transport to the customer, as well as the product\'s use phase and end-of-life.</w:t>
      </w:r>
    </w:p>
    <w:bookmarkEnd w:id="24"/>
    <w:bookmarkStart w:id="25" w:name="geographic-scope"/>
    <w:p>
      <w:pPr>
        <w:pStyle w:val="Heading3"/>
      </w:pPr>
      <w:r>
        <w:t xml:space="preserve">2.3.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w:t>
      </w:r>
    </w:p>
    <w:bookmarkEnd w:id="25"/>
    <w:bookmarkStart w:id="26" w:name="accounting-standard"/>
    <w:p>
      <w:pPr>
        <w:pStyle w:val="Heading3"/>
      </w:pPr>
      <w:r>
        <w:t xml:space="preserve">2.4. Accounting Standard</w:t>
      </w:r>
    </w:p>
    <w:p>
      <w:pPr>
        <w:numPr>
          <w:ilvl w:val="0"/>
          <w:numId w:val="1004"/>
        </w:numPr>
        <w:pStyle w:val="Compact"/>
      </w:pPr>
      <w:r>
        <w:t xml:space="preserve">This analysis strictly follows the</w:t>
      </w:r>
      <w:r>
        <w:t xml:space="preserve"> </w:t>
      </w:r>
      <w:r>
        <w:rPr>
          <w:bCs/>
          <w:b/>
        </w:rPr>
        <w:t xml:space="preserve">GHG Protocol Product Standard</w:t>
      </w:r>
      <w:r>
        <w:t xml:space="preserve"> </w:t>
      </w:r>
      <w:r>
        <w:t xml:space="preserve">for quantifying greenhouse gas emissions. Emissions are categorized into Scope 1 (direct emissions), Scope 2 (purchased electricity, heat, or steam), and Scope 3 (all other indirect emissions in the value chain). The report also considers the principles of the 2026 Land Sector and Removals (LSR) Standard for land use and carbon removals, ensuring comprehensive coverage.</w:t>
      </w:r>
    </w:p>
    <w:p>
      <w:r>
        <w:pict>
          <v:rect style="width:0;height:1.5pt" o:hralign="center" o:hrstd="t" o:hr="t"/>
        </w:pict>
      </w:r>
    </w:p>
    <w:bookmarkEnd w:id="26"/>
    <w:bookmarkEnd w:id="27"/>
    <w:bookmarkStart w:id="33" w:name="X939a47aef72a4a28c08ea406bdad185696e1f66"/>
    <w:p>
      <w:pPr>
        <w:pStyle w:val="Heading2"/>
      </w:pPr>
      <w:r>
        <w:t xml:space="preserve">3. Lifecycle Inventory (LCI) and Data Collection</w:t>
      </w:r>
    </w:p>
    <w:p>
      <w:pPr>
        <w:pStyle w:val="FirstParagraph"/>
      </w:pPr>
      <w:r>
        <w:t xml:space="preserve">This section details the inputs for each lifecycle stage, leveraging both primary data provided and secondary industry-standard emission factors.</w:t>
      </w:r>
    </w:p>
    <w:bookmarkStart w:id="28" w:name="detailed-bill-of-materials-bom"/>
    <w:p>
      <w:pPr>
        <w:pStyle w:val="Heading3"/>
      </w:pPr>
      <w:r>
        <w:t xml:space="preserve">3.1. Detailed Bill of Materials (BOM)</w:t>
      </w:r>
    </w:p>
    <w:p>
      <w:pPr>
        <w:pStyle w:val="FirstParagraph"/>
      </w:pPr>
      <w:r>
        <w:t xml:space="preserve">The following detailed Bill of Materials (BOM) for</w:t>
      </w:r>
      <w:r>
        <w:t xml:space="preserve"> </w:t>
      </w:r>
      <w:r>
        <w:rPr>
          <w:bCs/>
          <w:b/>
        </w:rPr>
        <w:t xml:space="preserve">oylkvxxomn</w:t>
      </w:r>
      <w:r>
        <w:t xml:space="preserve"> </w:t>
      </w:r>
      <w:r>
        <w:t xml:space="preserve">was used for high-accuracy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MAT001</w:t>
            </w:r>
          </w:p>
        </w:tc>
        <w:tc>
          <w:tcPr/>
          <w:p>
            <w:pPr>
              <w:pStyle w:val="Compact"/>
              <w:jc w:val="left"/>
            </w:pPr>
            <w:r>
              <w:t xml:space="preserve">Recycled Aluminum Alloy</w:t>
            </w:r>
          </w:p>
        </w:tc>
        <w:tc>
          <w:tcPr/>
          <w:p>
            <w:pPr>
              <w:pStyle w:val="Compact"/>
              <w:jc w:val="left"/>
            </w:pPr>
            <w:r>
              <w:t xml:space="preserve">Metal</w:t>
            </w:r>
          </w:p>
        </w:tc>
        <w:tc>
          <w:tcPr/>
          <w:p>
            <w:pPr>
              <w:pStyle w:val="Compact"/>
              <w:jc w:val="left"/>
            </w:pPr>
            <w:r>
              <w:t xml:space="preserve">Casting &amp; Finishing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w:t>
            </w:r>
          </w:p>
        </w:tc>
      </w:tr>
      <w:tr>
        <w:tc>
          <w:tcPr/>
          <w:p>
            <w:pPr>
              <w:pStyle w:val="Compact"/>
              <w:jc w:val="left"/>
            </w:pPr>
            <w:r>
              <w:t xml:space="preserve">MAT002</w:t>
            </w:r>
          </w:p>
        </w:tc>
        <w:tc>
          <w:tcPr/>
          <w:p>
            <w:pPr>
              <w:pStyle w:val="Compact"/>
              <w:jc w:val="left"/>
            </w:pPr>
            <w:r>
              <w:t xml:space="preserve">Virgin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3.0</w:t>
            </w:r>
          </w:p>
        </w:tc>
        <w:tc>
          <w:tcPr/>
          <w:p>
            <w:pPr>
              <w:pStyle w:val="Compact"/>
              <w:jc w:val="left"/>
            </w:pPr>
            <w:r>
              <w:t xml:space="preserve">1.2</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MAT004</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MAT005</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bl>
    <w:p>
      <w:pPr>
        <w:pStyle w:val="BodyText"/>
      </w:pPr>
      <w:r>
        <w:rPr>
          <w:bCs/>
          <w:b/>
        </w:rPr>
        <w:t xml:space="preserve">Total Raw Material Emissions (Scope 3 - Upstream): 3.50 kg CO₂e</w:t>
      </w:r>
    </w:p>
    <w:bookmarkEnd w:id="28"/>
    <w:bookmarkStart w:id="29" w:name="production-phase-energy-inputs"/>
    <w:p>
      <w:pPr>
        <w:pStyle w:val="Heading3"/>
      </w:pPr>
      <w:r>
        <w:t xml:space="preserve">3.2. Production Phase Energy Inputs</w:t>
      </w:r>
    </w:p>
    <w:p>
      <w:pPr>
        <w:numPr>
          <w:ilvl w:val="0"/>
          <w:numId w:val="1005"/>
        </w:numPr>
        <w:pStyle w:val="Compact"/>
      </w:pPr>
      <w:r>
        <w:t xml:space="preserve">Energy Intensity (kWh/unit): 30 kWh/unit</w:t>
      </w:r>
    </w:p>
    <w:p>
      <w:pPr>
        <w:numPr>
          <w:ilvl w:val="0"/>
          <w:numId w:val="1005"/>
        </w:numPr>
        <w:pStyle w:val="Compact"/>
      </w:pPr>
      <w:r>
        <w:t xml:space="preserve">Renewable Energy Usage: 75% of total energy consumption.</w:t>
      </w:r>
    </w:p>
    <w:p>
      <w:pPr>
        <w:numPr>
          <w:ilvl w:val="0"/>
          <w:numId w:val="1005"/>
        </w:numPr>
        <w:pStyle w:val="Compact"/>
      </w:pPr>
      <w:r>
        <w:t xml:space="preserve">Grid Electricity Emission Factor (China, 2023): 0.6205 kg CO₂e/kWh.</w:t>
      </w:r>
    </w:p>
    <w:p>
      <w:pPr>
        <w:numPr>
          <w:ilvl w:val="0"/>
          <w:numId w:val="1005"/>
        </w:numPr>
        <w:pStyle w:val="Compact"/>
      </w:pPr>
      <w:r>
        <w:t xml:space="preserve">Upstream Renewable Energy Emission Factor: 0.030 kg CO₂e/kWh.</w:t>
      </w:r>
    </w:p>
    <w:bookmarkEnd w:id="29"/>
    <w:bookmarkStart w:id="30" w:name="logistics-data"/>
    <w:p>
      <w:pPr>
        <w:pStyle w:val="Heading3"/>
      </w:pPr>
      <w:r>
        <w:t xml:space="preserve">3.3. Logistics Data</w:t>
      </w:r>
    </w:p>
    <w:p>
      <w:pPr>
        <w:numPr>
          <w:ilvl w:val="0"/>
          <w:numId w:val="1006"/>
        </w:numPr>
        <w:pStyle w:val="Compact"/>
      </w:pPr>
      <w:r>
        <w:t xml:space="preserve">Transport Mode (Main Freight): Road Freight (Heavy Goods Vehicle)</w:t>
      </w:r>
    </w:p>
    <w:p>
      <w:pPr>
        <w:numPr>
          <w:ilvl w:val="0"/>
          <w:numId w:val="1006"/>
        </w:numPr>
        <w:pStyle w:val="Compact"/>
      </w:pPr>
      <w:r>
        <w:t xml:space="preserve">Transport Distance (Main Freight): 800 km (assumed for both inbound and outbound main transport).</w:t>
      </w:r>
    </w:p>
    <w:p>
      <w:pPr>
        <w:numPr>
          <w:ilvl w:val="0"/>
          <w:numId w:val="1006"/>
        </w:numPr>
        <w:pStyle w:val="Compact"/>
      </w:pPr>
      <w:r>
        <w:t xml:space="preserve">Last-Mile Delivery Channel: Light Commercial Van (Diesel)</w:t>
      </w:r>
    </w:p>
    <w:p>
      <w:pPr>
        <w:numPr>
          <w:ilvl w:val="0"/>
          <w:numId w:val="1006"/>
        </w:numPr>
        <w:pStyle w:val="Compact"/>
      </w:pPr>
      <w:r>
        <w:t xml:space="preserve">Last-Mile Delivery Distance: 50 km (assumed).</w:t>
      </w:r>
    </w:p>
    <w:p>
      <w:pPr>
        <w:numPr>
          <w:ilvl w:val="0"/>
          <w:numId w:val="1006"/>
        </w:numPr>
        <w:pStyle w:val="Compact"/>
      </w:pPr>
      <w:r>
        <w:t xml:space="preserve">Road Freight Emission Factor (Heavy Goods Vehicle): 0.09 kg CO₂e/tkm.</w:t>
      </w:r>
    </w:p>
    <w:p>
      <w:pPr>
        <w:numPr>
          <w:ilvl w:val="0"/>
          <w:numId w:val="1006"/>
        </w:numPr>
        <w:pStyle w:val="Compact"/>
      </w:pPr>
      <w:r>
        <w:t xml:space="preserve">Light Commercial Van Emission Factor (Diesel): 0.15 kg CO₂e/km.</w:t>
      </w:r>
    </w:p>
    <w:p>
      <w:pPr>
        <w:numPr>
          <w:ilvl w:val="0"/>
          <w:numId w:val="1006"/>
        </w:numPr>
        <w:pStyle w:val="Compact"/>
      </w:pPr>
      <w:r>
        <w:t xml:space="preserve">Total Product Weight: 1.65 kg.</w:t>
      </w:r>
    </w:p>
    <w:bookmarkEnd w:id="30"/>
    <w:bookmarkStart w:id="31" w:name="use-phase-data"/>
    <w:p>
      <w:pPr>
        <w:pStyle w:val="Heading3"/>
      </w:pPr>
      <w:r>
        <w:t xml:space="preserve">3.4. Use Phase Data</w:t>
      </w:r>
    </w:p>
    <w:p>
      <w:pPr>
        <w:numPr>
          <w:ilvl w:val="0"/>
          <w:numId w:val="1007"/>
        </w:numPr>
        <w:pStyle w:val="Compact"/>
      </w:pPr>
      <w:r>
        <w:t xml:space="preserve">Product Lifespan: 7 years.</w:t>
      </w:r>
    </w:p>
    <w:p>
      <w:pPr>
        <w:numPr>
          <w:ilvl w:val="0"/>
          <w:numId w:val="1007"/>
        </w:numPr>
        <w:pStyle w:val="Compact"/>
      </w:pPr>
      <w:r>
        <w:t xml:space="preserve">Energy Consumption in Use: 15 kWh/year.</w:t>
      </w:r>
    </w:p>
    <w:p>
      <w:pPr>
        <w:numPr>
          <w:ilvl w:val="0"/>
          <w:numId w:val="1007"/>
        </w:numPr>
        <w:pStyle w:val="Compact"/>
      </w:pPr>
      <w:r>
        <w:t xml:space="preserve">Global Average Electricity Emission Factor (for Use Phase, IEA 2027 forecast): 0.400 kg CO₂e/kWh.</w:t>
      </w:r>
    </w:p>
    <w:bookmarkEnd w:id="31"/>
    <w:bookmarkStart w:id="32" w:name="end-of-life-eol-scenarios"/>
    <w:p>
      <w:pPr>
        <w:pStyle w:val="Heading3"/>
      </w:pPr>
      <w:r>
        <w:t xml:space="preserve">3.5. End-of-Life (EoL) Scenarios</w:t>
      </w:r>
    </w:p>
    <w:p>
      <w:pPr>
        <w:numPr>
          <w:ilvl w:val="0"/>
          <w:numId w:val="1008"/>
        </w:numPr>
        <w:pStyle w:val="Compact"/>
      </w:pPr>
      <w:r>
        <w:t xml:space="preserve">Recyclability Percentage: 90% of total product weight.</w:t>
      </w:r>
    </w:p>
    <w:p>
      <w:pPr>
        <w:numPr>
          <w:ilvl w:val="0"/>
          <w:numId w:val="1008"/>
        </w:numPr>
        <w:pStyle w:val="Compact"/>
      </w:pPr>
      <w:r>
        <w:t xml:space="preserve">Circular/Take-back Programs: Active and well-established.</w:t>
      </w:r>
    </w:p>
    <w:p>
      <w:pPr>
        <w:numPr>
          <w:ilvl w:val="0"/>
          <w:numId w:val="1008"/>
        </w:numPr>
        <w:pStyle w:val="Compact"/>
      </w:pPr>
      <w:r>
        <w:t xml:space="preserve">Plastic Landfill Emission Factor: 0.033 kg CO₂e/kg.</w:t>
      </w:r>
    </w:p>
    <w:p>
      <w:pPr>
        <w:numPr>
          <w:ilvl w:val="0"/>
          <w:numId w:val="1008"/>
        </w:numPr>
        <w:pStyle w:val="Compact"/>
      </w:pPr>
      <w:r>
        <w:t xml:space="preserve">Plastic Recycling Avoided Emission Factor: -2.25 kg CO₂e/kg (avoided virgin production).</w:t>
      </w:r>
    </w:p>
    <w:p>
      <w:pPr>
        <w:numPr>
          <w:ilvl w:val="0"/>
          <w:numId w:val="1008"/>
        </w:numPr>
        <w:pStyle w:val="Compact"/>
      </w:pPr>
      <w:r>
        <w:t xml:space="preserve">Aluminum Recycling Avoided Emission Factor: -10.0 kg CO₂e/kg (avoided virgin production).</w:t>
      </w:r>
    </w:p>
    <w:p>
      <w:pPr>
        <w:numPr>
          <w:ilvl w:val="0"/>
          <w:numId w:val="1008"/>
        </w:numPr>
        <w:pStyle w:val="Compact"/>
      </w:pPr>
      <w:r>
        <w:t xml:space="preserve">Copper Recycling Avoided Emission Factor: -8.0 kg CO₂e/kg (avoided virgin production).</w:t>
      </w:r>
    </w:p>
    <w:p>
      <w:pPr>
        <w:numPr>
          <w:ilvl w:val="0"/>
          <w:numId w:val="1008"/>
        </w:numPr>
        <w:pStyle w:val="Compact"/>
      </w:pPr>
      <w:r>
        <w:t xml:space="preserve">Paper/Board Recycling Avoided Emission Factor: -0.7 kg CO₂e/kg (general estimate).</w:t>
      </w:r>
    </w:p>
    <w:p>
      <w:r>
        <w:pict>
          <v:rect style="width:0;height:1.5pt" o:hralign="center" o:hrstd="t" o:hr="t"/>
        </w:pict>
      </w:r>
    </w:p>
    <w:bookmarkEnd w:id="32"/>
    <w:bookmarkEnd w:id="33"/>
    <w:bookmarkStart w:id="40" w:name="emission-calculations-co₂e"/>
    <w:p>
      <w:pPr>
        <w:pStyle w:val="Heading2"/>
      </w:pPr>
      <w:r>
        <w:t xml:space="preserve">4. Emission Calculations (CO₂e)</w:t>
      </w:r>
    </w:p>
    <w:p>
      <w:pPr>
        <w:pStyle w:val="FirstParagraph"/>
      </w:pPr>
      <w:r>
        <w:t xml:space="preserve">Emissions are calculated for each stage of the product lifecycle and categorized according to the GHG Protocol Scopes.</w:t>
      </w:r>
    </w:p>
    <w:bookmarkStart w:id="34" w:name="scope-1-emissions"/>
    <w:p>
      <w:pPr>
        <w:pStyle w:val="Heading3"/>
      </w:pPr>
      <w:r>
        <w:t xml:space="preserve">4.1. Scope 1 Emissions</w:t>
      </w:r>
    </w:p>
    <w:p>
      <w:pPr>
        <w:pStyle w:val="FirstParagraph"/>
      </w:pPr>
      <w:r>
        <w:t xml:space="preserve">Direct GHG emissions from sources owned or controlled by yrsktqfplz within the factory-gate boundary. For this PCF, direct combustion on-site for purposes other than electricity generation (e.g., owned vehicles, process heating) is considered negligible given the factory_gate system boundary and focus on product-specific emissions.</w:t>
      </w:r>
      <w:r>
        <w:t xml:space="preserve"> </w:t>
      </w:r>
      <w:r>
        <w:t xml:space="preserve">Therefore, Scope 1 Emissions: 0.00 kg CO₂e.</w:t>
      </w:r>
    </w:p>
    <w:bookmarkEnd w:id="34"/>
    <w:bookmarkStart w:id="35" w:name="scope-2-emissions"/>
    <w:p>
      <w:pPr>
        <w:pStyle w:val="Heading3"/>
      </w:pPr>
      <w:r>
        <w:t xml:space="preserve">4.2. Scope 2 Emissions</w:t>
      </w:r>
    </w:p>
    <w:p>
      <w:pPr>
        <w:pStyle w:val="FirstParagraph"/>
      </w:pPr>
      <w:r>
        <w:t xml:space="preserve">Indirect GHG emissions from the generation of purchased electricity consumed by yrsktqfplz during the manufacturing process.</w:t>
      </w:r>
    </w:p>
    <w:p>
      <w:pPr>
        <w:numPr>
          <w:ilvl w:val="0"/>
          <w:numId w:val="1009"/>
        </w:numPr>
        <w:pStyle w:val="Compact"/>
      </w:pPr>
      <w:r>
        <w:t xml:space="preserve">Total manufacturing energy: 30 kWh/unit.</w:t>
      </w:r>
    </w:p>
    <w:p>
      <w:pPr>
        <w:numPr>
          <w:ilvl w:val="0"/>
          <w:numId w:val="1009"/>
        </w:numPr>
        <w:pStyle w:val="Compact"/>
      </w:pPr>
      <w:r>
        <w:t xml:space="preserve">Grid electricity consumed: 7.50 kWh/unit (25% of total).</w:t>
      </w:r>
    </w:p>
    <w:p>
      <w:pPr>
        <w:numPr>
          <w:ilvl w:val="0"/>
          <w:numId w:val="1009"/>
        </w:numPr>
        <w:pStyle w:val="Compact"/>
      </w:pPr>
      <w:r>
        <w:rPr>
          <w:bCs/>
          <w:b/>
        </w:rPr>
        <w:t xml:space="preserve">Scope 2 Emissions (Manufacturing Electricity): 4.65 kg CO₂e</w:t>
      </w:r>
    </w:p>
    <w:bookmarkEnd w:id="35"/>
    <w:bookmarkStart w:id="38" w:name="scope-3-emissions"/>
    <w:p>
      <w:pPr>
        <w:pStyle w:val="Heading3"/>
      </w:pPr>
      <w:r>
        <w:t xml:space="preserve">4.3. Scope 3 Emissions</w:t>
      </w:r>
    </w:p>
    <w:p>
      <w:pPr>
        <w:pStyle w:val="FirstParagraph"/>
      </w:pPr>
      <w:r>
        <w:t xml:space="preserve">All other indirect emissions that occur in the value chain of oylkvxxomn, both upstream and downstream.</w:t>
      </w:r>
    </w:p>
    <w:bookmarkStart w:id="36" w:name="upstream-emissions-categories-1-2-3"/>
    <w:p>
      <w:pPr>
        <w:pStyle w:val="Heading4"/>
      </w:pPr>
      <w:r>
        <w:t xml:space="preserve">4.3.1. Upstream Emissions (Categories 1, 2, 3)</w:t>
      </w:r>
    </w:p>
    <w:p>
      <w:pPr>
        <w:numPr>
          <w:ilvl w:val="0"/>
          <w:numId w:val="1010"/>
        </w:numPr>
        <w:pStyle w:val="Compact"/>
      </w:pPr>
      <w:r>
        <w:rPr>
          <w:bCs/>
          <w:b/>
        </w:rPr>
        <w:t xml:space="preserve">Raw Material Acquisition &amp; Processing (Category 1):</w:t>
      </w:r>
    </w:p>
    <w:p>
      <w:pPr>
        <w:numPr>
          <w:ilvl w:val="1"/>
          <w:numId w:val="1011"/>
        </w:numPr>
        <w:pStyle w:val="Compact"/>
      </w:pPr>
      <w:r>
        <w:t xml:space="preserve">Sum of \'Total Carbon\' from BOM: 3.50 kg CO₂e</w:t>
      </w:r>
    </w:p>
    <w:p>
      <w:pPr>
        <w:numPr>
          <w:ilvl w:val="0"/>
          <w:numId w:val="1010"/>
        </w:numPr>
        <w:pStyle w:val="Compact"/>
      </w:pPr>
      <w:r>
        <w:rPr>
          <w:bCs/>
          <w:b/>
        </w:rPr>
        <w:t xml:space="preserve">Capital Goods (Category 2):</w:t>
      </w:r>
      <w:r>
        <w:t xml:space="preserve"> </w:t>
      </w:r>
      <w:r>
        <w:t xml:space="preserve">Not quantified in this PCF at a detailed level; assumed covered by broader industry EFs for material production or considered negligible for product-specific PCF.</w:t>
      </w:r>
    </w:p>
    <w:p>
      <w:pPr>
        <w:numPr>
          <w:ilvl w:val="0"/>
          <w:numId w:val="1010"/>
        </w:numPr>
        <w:pStyle w:val="Compact"/>
      </w:pPr>
      <w:r>
        <w:rPr>
          <w:bCs/>
          <w:b/>
        </w:rPr>
        <w:t xml:space="preserve">Fuel- and Energy-Related Activities (FERA, Category 3):</w:t>
      </w:r>
    </w:p>
    <w:p>
      <w:pPr>
        <w:numPr>
          <w:ilvl w:val="1"/>
          <w:numId w:val="1012"/>
        </w:numPr>
        <w:pStyle w:val="Compact"/>
      </w:pPr>
      <w:r>
        <w:t xml:space="preserve">Upstream emissions from renewable electricity generation: 0.68 kg CO₂e</w:t>
      </w:r>
    </w:p>
    <w:p>
      <w:pPr>
        <w:numPr>
          <w:ilvl w:val="1"/>
          <w:numId w:val="1012"/>
        </w:numPr>
        <w:pStyle w:val="Compact"/>
      </w:pPr>
      <w:r>
        <w:t xml:space="preserve">Upstream emissions related to grid electricity (e.g., T&amp;D losses, well-to-tank for fossil fuels) are often integrated into Scope 2 emission factors or reported separately in Scope 3 Category 3. For simplicity, the country-specific grid EF is predominantly treated as Scope 2, with explicit FERA for renewable sources.</w:t>
      </w:r>
    </w:p>
    <w:p>
      <w:pPr>
        <w:numPr>
          <w:ilvl w:val="0"/>
          <w:numId w:val="1010"/>
        </w:numPr>
        <w:pStyle w:val="Compact"/>
      </w:pPr>
      <w:r>
        <w:rPr>
          <w:bCs/>
          <w:b/>
        </w:rPr>
        <w:t xml:space="preserve">Upstream Transportation and Distribution (Category 4):</w:t>
      </w:r>
    </w:p>
    <w:p>
      <w:pPr>
        <w:numPr>
          <w:ilvl w:val="1"/>
          <w:numId w:val="1013"/>
        </w:numPr>
        <w:pStyle w:val="Compact"/>
      </w:pPr>
      <w:r>
        <w:t xml:space="preserve">Inbound transport of raw materials: 0.12 kg CO₂e</w:t>
      </w:r>
    </w:p>
    <w:bookmarkEnd w:id="36"/>
    <w:bookmarkStart w:id="37" w:name="downstream-emissions-categories-9-11-12"/>
    <w:p>
      <w:pPr>
        <w:pStyle w:val="Heading4"/>
      </w:pPr>
      <w:r>
        <w:t xml:space="preserve">4.3.2. Downstream Emissions (Categories 9, 11, 12)</w:t>
      </w:r>
    </w:p>
    <w:p>
      <w:pPr>
        <w:numPr>
          <w:ilvl w:val="0"/>
          <w:numId w:val="1014"/>
        </w:numPr>
        <w:pStyle w:val="Compact"/>
      </w:pPr>
      <w:r>
        <w:rPr>
          <w:bCs/>
          <w:b/>
        </w:rPr>
        <w:t xml:space="preserve">Downstream Transportation and Distribution (Category 9):</w:t>
      </w:r>
    </w:p>
    <w:p>
      <w:pPr>
        <w:numPr>
          <w:ilvl w:val="1"/>
          <w:numId w:val="1015"/>
        </w:numPr>
        <w:pStyle w:val="Compact"/>
      </w:pPr>
      <w:r>
        <w:t xml:space="preserve">Main outbound transport: 0.12 kg CO₂e</w:t>
      </w:r>
    </w:p>
    <w:p>
      <w:pPr>
        <w:numPr>
          <w:ilvl w:val="1"/>
          <w:numId w:val="1015"/>
        </w:numPr>
        <w:pStyle w:val="Compact"/>
      </w:pPr>
      <w:r>
        <w:t xml:space="preserve">Last-mile delivery: 7.50 kg CO₂e</w:t>
      </w:r>
    </w:p>
    <w:p>
      <w:pPr>
        <w:numPr>
          <w:ilvl w:val="0"/>
          <w:numId w:val="1014"/>
        </w:numPr>
        <w:pStyle w:val="Compact"/>
      </w:pPr>
      <w:r>
        <w:rPr>
          <w:bCs/>
          <w:b/>
        </w:rPr>
        <w:t xml:space="preserve">Use of Sold Products (Category 11):</w:t>
      </w:r>
    </w:p>
    <w:p>
      <w:pPr>
        <w:numPr>
          <w:ilvl w:val="1"/>
          <w:numId w:val="1016"/>
        </w:numPr>
        <w:pStyle w:val="Compact"/>
      </w:pPr>
      <w:r>
        <w:t xml:space="preserve">Energy consumption over product lifespan: 105.00 kWh.</w:t>
      </w:r>
    </w:p>
    <w:p>
      <w:pPr>
        <w:numPr>
          <w:ilvl w:val="1"/>
          <w:numId w:val="1016"/>
        </w:numPr>
        <w:pStyle w:val="Compact"/>
      </w:pPr>
      <w:r>
        <w:t xml:space="preserve">Emissions from energy in use: 42.00 kg CO₂e</w:t>
      </w:r>
    </w:p>
    <w:p>
      <w:pPr>
        <w:numPr>
          <w:ilvl w:val="0"/>
          <w:numId w:val="1014"/>
        </w:numPr>
        <w:pStyle w:val="Compact"/>
      </w:pPr>
      <w:r>
        <w:rPr>
          <w:bCs/>
          <w:b/>
        </w:rPr>
        <w:t xml:space="preserve">End-of-Life Treatment of Sold Products (Category 12):</w:t>
      </w:r>
    </w:p>
    <w:p>
      <w:pPr>
        <w:numPr>
          <w:ilvl w:val="1"/>
          <w:numId w:val="1017"/>
        </w:numPr>
        <w:pStyle w:val="Compact"/>
      </w:pPr>
      <w:r>
        <w:t xml:space="preserve">Emissions from disposal (e.g., landfill for non-recycled portion): 0.00 kg CO₂e</w:t>
      </w:r>
    </w:p>
    <w:p>
      <w:pPr>
        <w:numPr>
          <w:ilvl w:val="1"/>
          <w:numId w:val="1017"/>
        </w:numPr>
        <w:pStyle w:val="Compact"/>
      </w:pPr>
      <w:r>
        <w:t xml:space="preserve">Avoided emissions due to recycling (e.g., avoided virgin production): -19.78 kg CO₂e</w:t>
      </w:r>
    </w:p>
    <w:p>
      <w:pPr>
        <w:numPr>
          <w:ilvl w:val="1"/>
          <w:numId w:val="1017"/>
        </w:numPr>
        <w:pStyle w:val="Compact"/>
      </w:pPr>
      <w:r>
        <w:rPr>
          <w:bCs/>
          <w:b/>
        </w:rPr>
        <w:t xml:space="preserve">Net End-of-Life Emissions: -19.78 kg CO₂e</w:t>
      </w:r>
    </w:p>
    <w:bookmarkEnd w:id="37"/>
    <w:bookmarkEnd w:id="38"/>
    <w:bookmarkStart w:id="39" w:name="total-product-carbon-footprint-pcf"/>
    <w:p>
      <w:pPr>
        <w:pStyle w:val="Heading3"/>
      </w:pPr>
      <w:r>
        <w:t xml:space="preserve">4.4. Total Product Carbon Footprint (PCF)</w:t>
      </w:r>
    </w:p>
    <w:p>
      <w:pPr>
        <w:pStyle w:val="FirstParagraph"/>
      </w:pPr>
      <w:r>
        <w:t xml:space="preserve">The total carbon footprint for 1.0 unit of</w:t>
      </w:r>
      <w:r>
        <w:t xml:space="preserve"> </w:t>
      </w:r>
      <w:r>
        <w:rPr>
          <w:bCs/>
          <w:b/>
        </w:rPr>
        <w:t xml:space="preserve">oylkvxxomn</w:t>
      </w:r>
      <w:r>
        <w:t xml:space="preserve"> </w:t>
      </w:r>
      <w:r>
        <w:t xml:space="preserve">is summarized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CO₂e)</w:t>
            </w:r>
          </w:p>
        </w:tc>
      </w:tr>
      <w:tr>
        <w:tc>
          <w:tcPr/>
          <w:p>
            <w:pPr>
              <w:pStyle w:val="Compact"/>
              <w:jc w:val="left"/>
            </w:pPr>
            <w:r>
              <w:t xml:space="preserve">Scope 1</w:t>
            </w:r>
          </w:p>
        </w:tc>
        <w:tc>
          <w:tcPr/>
          <w:p>
            <w:pPr>
              <w:pStyle w:val="Compact"/>
              <w:jc w:val="left"/>
            </w:pPr>
            <w:r>
              <w:t xml:space="preserve">Direct Emissions (negligible for this PCF)</w:t>
            </w:r>
          </w:p>
        </w:tc>
        <w:tc>
          <w:tcPr/>
          <w:p>
            <w:pPr>
              <w:pStyle w:val="Compact"/>
              <w:jc w:val="left"/>
            </w:pPr>
            <w:r>
              <w:t xml:space="preserve">0.00 kg CO₂e</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4.65 kg CO₂e</w:t>
            </w:r>
          </w:p>
        </w:tc>
      </w:tr>
      <w:tr>
        <w:tc>
          <w:tcPr>
            <w:vMerge w:val="restart"/>
          </w:tcPr>
          <w:p>
            <w:pPr>
              <w:pStyle w:val="Compact"/>
              <w:jc w:val="left"/>
            </w:pPr>
            <w:r>
              <w:t xml:space="preserve">Scope 3</w:t>
            </w:r>
          </w:p>
        </w:tc>
        <w:tc>
          <w:tcPr/>
          <w:p>
            <w:pPr>
              <w:pStyle w:val="Compact"/>
              <w:jc w:val="left"/>
            </w:pPr>
            <w:r>
              <w:t xml:space="preserve">Raw Material Acquisition &amp; Processing</w:t>
            </w:r>
          </w:p>
        </w:tc>
        <w:tc>
          <w:tcPr/>
          <w:p>
            <w:pPr>
              <w:pStyle w:val="Compact"/>
              <w:jc w:val="left"/>
            </w:pPr>
            <w:r>
              <w:t xml:space="preserve">3.50 kg CO₂e</w:t>
            </w:r>
          </w:p>
        </w:tc>
      </w:tr>
      <w:tr>
        <w:tc>
          <w:tcPr>
            <w:gridSpan w:val="1"/>
            <w:vMerge w:val="continue"/>
          </w:tcPr>
          <w:p>
            <w:pPr/>
          </w:p>
        </w:tc>
        <w:tc>
          <w:tcPr/>
          <w:p>
            <w:pPr>
              <w:pStyle w:val="Compact"/>
              <w:jc w:val="left"/>
            </w:pPr>
            <w:r>
              <w:t xml:space="preserve">Fuel- and Energy-Related Activities (Upstream Renewable)</w:t>
            </w:r>
          </w:p>
        </w:tc>
        <w:tc>
          <w:tcPr/>
          <w:p>
            <w:pPr>
              <w:pStyle w:val="Compact"/>
              <w:jc w:val="left"/>
            </w:pPr>
            <w:r>
              <w:t xml:space="preserve">0.68 kg CO₂e</w:t>
            </w:r>
          </w:p>
        </w:tc>
      </w:tr>
      <w:tr>
        <w:tc>
          <w:tcPr>
            <w:gridSpan w:val="1"/>
            <w:vMerge w:val="continue"/>
          </w:tcPr>
          <w:p>
            <w:pPr/>
          </w:p>
        </w:tc>
        <w:tc>
          <w:tcPr/>
          <w:p>
            <w:pPr>
              <w:pStyle w:val="Compact"/>
              <w:jc w:val="left"/>
            </w:pPr>
            <w:r>
              <w:t xml:space="preserve">Upstream Transportation and Distribution</w:t>
            </w:r>
          </w:p>
        </w:tc>
        <w:tc>
          <w:tcPr/>
          <w:p>
            <w:pPr>
              <w:pStyle w:val="Compact"/>
              <w:jc w:val="left"/>
            </w:pPr>
            <w:r>
              <w:t xml:space="preserve">0.12 kg CO₂e</w:t>
            </w:r>
          </w:p>
        </w:tc>
      </w:tr>
      <w:tr>
        <w:tc>
          <w:tcPr>
            <w:gridSpan w:val="1"/>
            <w:vMerge w:val="continue"/>
          </w:tcPr>
          <w:p>
            <w:pPr/>
          </w:p>
        </w:tc>
        <w:tc>
          <w:tcPr/>
          <w:p>
            <w:pPr>
              <w:pStyle w:val="Compact"/>
              <w:jc w:val="left"/>
            </w:pPr>
            <w:r>
              <w:t xml:space="preserve">Downstream Transportation and Distribution (Main)</w:t>
            </w:r>
          </w:p>
        </w:tc>
        <w:tc>
          <w:tcPr/>
          <w:p>
            <w:pPr>
              <w:pStyle w:val="Compact"/>
              <w:jc w:val="left"/>
            </w:pPr>
            <w:r>
              <w:t xml:space="preserve">0.12 kg CO₂e</w:t>
            </w:r>
          </w:p>
        </w:tc>
      </w:tr>
      <w:tr>
        <w:tc>
          <w:tcPr>
            <w:gridSpan w:val="1"/>
            <w:vMerge w:val="continue"/>
          </w:tcPr>
          <w:p>
            <w:pPr/>
          </w:p>
        </w:tc>
        <w:tc>
          <w:tcPr/>
          <w:p>
            <w:pPr>
              <w:pStyle w:val="Compact"/>
              <w:jc w:val="left"/>
            </w:pPr>
            <w:r>
              <w:t xml:space="preserve">Downstream Transportation and Distribution (Last-Mile)</w:t>
            </w:r>
          </w:p>
        </w:tc>
        <w:tc>
          <w:tcPr/>
          <w:p>
            <w:pPr>
              <w:pStyle w:val="Compact"/>
              <w:jc w:val="left"/>
            </w:pPr>
            <w:r>
              <w:t xml:space="preserve">7.50 kg CO₂e</w:t>
            </w:r>
          </w:p>
        </w:tc>
      </w:tr>
      <w:tr>
        <w:tc>
          <w:tcPr>
            <w:gridSpan w:val="1"/>
            <w:vMerge w:val="continue"/>
          </w:tcPr>
          <w:p>
            <w:pPr/>
          </w:p>
        </w:tc>
        <w:tc>
          <w:tcPr/>
          <w:p>
            <w:pPr>
              <w:pStyle w:val="Compact"/>
              <w:jc w:val="left"/>
            </w:pPr>
            <w:r>
              <w:t xml:space="preserve">Use of Sold Products</w:t>
            </w:r>
          </w:p>
        </w:tc>
        <w:tc>
          <w:tcPr/>
          <w:p>
            <w:pPr>
              <w:pStyle w:val="Compact"/>
              <w:jc w:val="left"/>
            </w:pPr>
            <w:r>
              <w:t xml:space="preserve">42.00 kg CO₂e</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-19.78 kg CO₂e</w:t>
            </w:r>
          </w:p>
        </w:tc>
      </w:tr>
      <w:tr>
        <w:tc>
          <w:tcPr>
            <w:gridSpan w:val="2"/>
          </w:tcPr>
          <w:p>
            <w:pPr>
              <w:pStyle w:val="Compact"/>
              <w:jc w:val="left"/>
            </w:pPr>
            <w:r>
              <w:t xml:space="preserve">TOTAL PRODUCT CARBON FOOTPRINT</w:t>
            </w:r>
          </w:p>
        </w:tc>
        <w:tc>
          <w:tcPr/>
          <w:p>
            <w:pPr>
              <w:pStyle w:val="Compact"/>
              <w:jc w:val="left"/>
            </w:pPr>
            <w:r>
              <w:t xml:space="preserve">38.79 kg CO₂e</w:t>
            </w:r>
          </w:p>
        </w:tc>
      </w:tr>
    </w:tbl>
    <w:p>
      <w:r>
        <w:pict>
          <v:rect style="width:0;height:1.5pt" o:hralign="center" o:hrstd="t" o:hr="t"/>
        </w:pict>
      </w:r>
    </w:p>
    <w:bookmarkEnd w:id="39"/>
    <w:bookmarkEnd w:id="40"/>
    <w:bookmarkStart w:id="45" w:name="review-report"/>
    <w:p>
      <w:pPr>
        <w:pStyle w:val="Heading2"/>
      </w:pPr>
      <w:r>
        <w:t xml:space="preserve">5. Review &amp; Report</w:t>
      </w:r>
    </w:p>
    <w:bookmarkStart w:id="41" w:name="hotspot-analysis"/>
    <w:p>
      <w:pPr>
        <w:pStyle w:val="Heading3"/>
      </w:pPr>
      <w:r>
        <w:t xml:space="preserve">5.1. Hotspot Analysis</w:t>
      </w:r>
    </w:p>
    <w:p>
      <w:pPr>
        <w:pStyle w:val="FirstParagraph"/>
      </w:pPr>
      <w:r>
        <w:t xml:space="preserve">Based on the calculations, the primary emission hotspots for</w:t>
      </w:r>
      <w:r>
        <w:t xml:space="preserve"> </w:t>
      </w:r>
      <w:r>
        <w:rPr>
          <w:bCs/>
          <w:b/>
        </w:rPr>
        <w:t xml:space="preserve">oylkvxxomn</w:t>
      </w:r>
      <w:r>
        <w:t xml:space="preserve"> </w:t>
      </w:r>
      <w:r>
        <w:t xml:space="preserve">are:</w:t>
      </w:r>
    </w:p>
    <w:p>
      <w:pPr>
        <w:numPr>
          <w:ilvl w:val="0"/>
          <w:numId w:val="1018"/>
        </w:numPr>
        <w:pStyle w:val="Compact"/>
      </w:pPr>
      <w:r>
        <w:rPr>
          <w:bCs/>
          <w:b/>
        </w:rPr>
        <w:t xml:space="preserve">Use Phase Energy Consumption:</w:t>
      </w:r>
      <w:r>
        <w:t xml:space="preserve"> </w:t>
      </w:r>
      <w:r>
        <w:t xml:space="preserve">The product\'s energy use over its 7-year lifespan contributes substantially to downstream Scope 3 emissions.</w:t>
      </w:r>
    </w:p>
    <w:p>
      <w:pPr>
        <w:numPr>
          <w:ilvl w:val="0"/>
          <w:numId w:val="1018"/>
        </w:numPr>
        <w:pStyle w:val="Compact"/>
      </w:pPr>
      <w:r>
        <w:rPr>
          <w:bCs/>
          <w:b/>
        </w:rPr>
        <w:t xml:space="preserve">Downstream Transportation (Last-Mile):</w:t>
      </w:r>
      <w:r>
        <w:t xml:space="preserve"> </w:t>
      </w:r>
      <w:r>
        <w:t xml:space="preserve">The last-mile delivery significantly contributes to the overall transport emissions.</w:t>
      </w:r>
    </w:p>
    <w:p>
      <w:pPr>
        <w:numPr>
          <w:ilvl w:val="0"/>
          <w:numId w:val="1018"/>
        </w:numPr>
        <w:pStyle w:val="Compact"/>
      </w:pPr>
      <w:r>
        <w:rPr>
          <w:bCs/>
          <w:b/>
        </w:rPr>
        <w:t xml:space="preserve">Manufacturing Electricity (Scope 2):</w:t>
      </w:r>
      <w:r>
        <w:t xml:space="preserve"> </w:t>
      </w:r>
      <w:r>
        <w:t xml:space="preserve">Although a portion is covered by renewable energy, the grid electricity consumed in China contributes to the footprint.</w:t>
      </w:r>
    </w:p>
    <w:p>
      <w:pPr>
        <w:numPr>
          <w:ilvl w:val="0"/>
          <w:numId w:val="1018"/>
        </w:numPr>
        <w:pStyle w:val="Compact"/>
      </w:pPr>
      <w:r>
        <w:rPr>
          <w:bCs/>
          <w:b/>
        </w:rPr>
        <w:t xml:space="preserve">Raw Material Acquisition:</w:t>
      </w:r>
      <w:r>
        <w:t xml:space="preserve"> </w:t>
      </w:r>
      <w:r>
        <w:t xml:space="preserve">Representing a significant portion of upstream Scope 3 emissions, particularly for materials with high embodied carbon (e.g., virgin plastics, silicon components).</w:t>
      </w:r>
    </w:p>
    <w:bookmarkEnd w:id="41"/>
    <w:bookmarkStart w:id="42" w:name="reliability-and-limitations"/>
    <w:p>
      <w:pPr>
        <w:pStyle w:val="Heading3"/>
      </w:pPr>
      <w:r>
        <w:t xml:space="preserve">5.2. Reliability and Limitations</w:t>
      </w:r>
    </w:p>
    <w:p>
      <w:pPr>
        <w:pStyle w:val="FirstParagraph"/>
      </w:pPr>
      <w:r>
        <w:t xml:space="preserve">This report is based on the provided specific parameters and utilizes industry-average emission factors from reputable sources (e.g., IEA, DEFRA, Ecoinvent references indirectly through search results). The accuracy is highly dependent on the quality and specificity of the input data. Generic emission factors have been used where specific data was unavailable. The system boundary of \'factory_gate\' focuses on direct product-related emissions. Further detailed primary data collection (e.g., supplier-specific EFs, actual transport routes and vehicle types) could refine the analysis.</w:t>
      </w:r>
    </w:p>
    <w:bookmarkEnd w:id="42"/>
    <w:bookmarkStart w:id="44" w:name="lsr-update-scope-3-compliance"/>
    <w:p>
      <w:pPr>
        <w:pStyle w:val="Heading3"/>
      </w:pPr>
      <w:r>
        <w:t xml:space="preserve">5.3. 2026 LSR Update &amp; Scope 3 Compliance</w:t>
      </w:r>
    </w:p>
    <w:p>
      <w:pPr>
        <w:pStyle w:val="FirstParagraph"/>
      </w:pPr>
      <w:r>
        <w:t xml:space="preserve">The analysis adheres to the principles of the 2026 Land Sector and Removals (LSR) Standard by ensuring that upstream material impacts, including those potentially related to land-use change, are implicitly considered through the selected emission factors. For biogenic carbon, the report assumes a net-zero impact for sustainably sourced bio-based materials (if any) or that their impacts are captured in the \'Total Carbon\' values from the BOM. The Scope 3 reporting achieved comprehensive coverage by incorporating all identifiable value chain activities, targeting the 95% coverage requirement as per 2026 guidelines through detailed breakdown of material, energy, transport, use, and end-of-life phases.</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oylkvxxomn</dc:title>
  <dc:creator/>
  <dc:description>High-detail Product Carbon Footprint (PCF) analysis for oylkvxxomn by yrsktqfplz, adhering to GHG Protocol standards and 2026 LSR updates.</dc:description>
  <dc:language>en</dc:language>
  <cp:keywords/>
  <dcterms:created xsi:type="dcterms:W3CDTF">2026-07-15T05:05:59Z</dcterms:created>
  <dcterms:modified xsi:type="dcterms:W3CDTF">2026-07-15T05:05:59Z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