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oxtnkhmuti</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oxtnkhmuti"/>
    <w:p>
      <w:pPr>
        <w:pStyle w:val="Heading2"/>
      </w:pPr>
      <w:r>
        <w:t xml:space="preserve">For Product: oxtnkhmuti</w:t>
      </w:r>
    </w:p>
    <w:p>
      <w:pPr>
        <w:pStyle w:val="FirstParagraph"/>
      </w:pPr>
      <w:r>
        <w:rPr>
          <w:bCs/>
          <w:b/>
        </w:rPr>
        <w:t xml:space="preserve">Company Name:</w:t>
      </w:r>
      <w:r>
        <w:t xml:space="preserve"> </w:t>
      </w:r>
      <w:r>
        <w:t xml:space="preserve">lmnljjpwdg</w:t>
      </w:r>
    </w:p>
    <w:p>
      <w:pPr>
        <w:pStyle w:val="BodyText"/>
      </w:pPr>
      <w:r>
        <w:rPr>
          <w:bCs/>
          <w:b/>
        </w:rPr>
        <w:t xml:space="preserve">Senior Sustainability Consultant:</w:t>
      </w:r>
      <w:r>
        <w:t xml:space="preserve"> </w:t>
      </w:r>
      <w:r>
        <w:t xml:space="preserve">orjtkxtzhf</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incorporating sample values for specific parameters provided as placeholders. Actual values for a live assessment would require primary data collection for higher accuracy.*</w:t>
      </w:r>
    </w:p>
    <w:bookmarkEnd w:id="20"/>
    <w:bookmarkEnd w:id="21"/>
    <w:p>
      <w:pPr>
        <w:pStyle w:val="BodyText"/>
      </w:pPr>
      <w:r>
        <w:t xml:space="preserve">Product Carbon Footprint Report - oxtnkhmuti | Generated Date: May 21, 2026</w:t>
      </w:r>
    </w:p>
    <w:bookmarkStart w:id="22" w:name="executive-summary"/>
    <w:p>
      <w:pPr>
        <w:pStyle w:val="Heading1"/>
      </w:pPr>
      <w:r>
        <w:t xml:space="preserve">Executive Summary</w:t>
      </w:r>
    </w:p>
    <w:p>
      <w:pPr>
        <w:pStyle w:val="FirstParagraph"/>
      </w:pPr>
      <w:r>
        <w:t xml:space="preserve">This report presents a detailed Product Carbon Footprint (PCF) analysis for the product</w:t>
      </w:r>
      <w:r>
        <w:t xml:space="preserve"> </w:t>
      </w:r>
      <w:r>
        <w:rPr>
          <w:bCs/>
          <w:b/>
        </w:rPr>
        <w:t xml:space="preserve">oxtnkhmuti</w:t>
      </w:r>
      <w:r>
        <w:t xml:space="preserve">, manufactured by</w:t>
      </w:r>
      <w:r>
        <w:t xml:space="preserve"> </w:t>
      </w:r>
      <w:r>
        <w:rPr>
          <w:bCs/>
          <w:b/>
        </w:rPr>
        <w:t xml:space="preserve">lmnljjpwdg</w:t>
      </w:r>
      <w:r>
        <w:t xml:space="preserve">.</w:t>
      </w:r>
      <w:r>
        <w:t xml:space="preserve"> </w:t>
      </w:r>
      <w:r>
        <w:t xml:space="preserve">Conducted by Senior Sustainability Consultant</w:t>
      </w:r>
      <w:r>
        <w:t xml:space="preserve"> </w:t>
      </w:r>
      <w:r>
        <w:rPr>
          <w:bCs/>
          <w:b/>
        </w:rPr>
        <w:t xml:space="preserve">orjtkxtzhf</w:t>
      </w:r>
      <w:r>
        <w:t xml:space="preserve">, this assessment adheres to the GHG Protocol,</w:t>
      </w:r>
      <w:r>
        <w:t xml:space="preserve"> </w:t>
      </w:r>
      <w:r>
        <w:t xml:space="preserve">including considerations for the 2026 Land Sector and Removals (LSR) Standard. The analysis aims to quantify</w:t>
      </w:r>
      <w:r>
        <w:t xml:space="preserve"> </w:t>
      </w:r>
      <w:r>
        <w:t xml:space="preserve">the greenhouse gas emissions associated with the product\'s lifecycle, identify emission hotspots, and provide</w:t>
      </w:r>
      <w:r>
        <w:t xml:space="preserve"> </w:t>
      </w:r>
      <w:r>
        <w:t xml:space="preserve">insights for decarbonization efforts. Due to several input parameters being provided as placeholders, this report</w:t>
      </w:r>
      <w:r>
        <w:t xml:space="preserve"> </w:t>
      </w:r>
      <w:r>
        <w:t xml:space="preserve">utilizes illustrative sample data to demonstrate the methodology and reporting structure. A key objective</w:t>
      </w:r>
      <w:r>
        <w:t xml:space="preserve"> </w:t>
      </w:r>
      <w:r>
        <w:t xml:space="preserve">is to ensure high coverage for Scope 3 emissions, targeting at least 95% as per 2026 requirements, thereby providing a comprehensive view of the value chain impact.</w:t>
      </w:r>
    </w:p>
    <w:p>
      <w:r>
        <w:pict>
          <v:rect style="width:0;height:1.5pt" o:hralign="center" o:hrstd="t" o:hr="t"/>
        </w:pict>
      </w:r>
    </w:p>
    <w:bookmarkEnd w:id="22"/>
    <w:bookmarkStart w:id="28" w:name="methodology-and-scope-definition"/>
    <w:p>
      <w:pPr>
        <w:pStyle w:val="Heading1"/>
      </w:pPr>
      <w:r>
        <w:t xml:space="preserve">1. Methodology and Scope Definition</w:t>
      </w:r>
    </w:p>
    <w:bookmarkStart w:id="23" w:name="accounting-standard"/>
    <w:p>
      <w:pPr>
        <w:pStyle w:val="Heading2"/>
      </w:pPr>
      <w:r>
        <w:t xml:space="preserve">1.1. Accounting Standard</w:t>
      </w:r>
    </w:p>
    <w:p>
      <w:pPr>
        <w:pStyle w:val="FirstParagraph"/>
      </w:pPr>
      <w:r>
        <w:t xml:space="preserve">This Product Carbon Footprint (PCF) analysis strictly follows the guidelines set forth by the</w:t>
      </w:r>
      <w:r>
        <w:t xml:space="preserve"> </w:t>
      </w:r>
      <w:r>
        <w:rPr>
          <w:bCs/>
          <w:b/>
        </w:rPr>
        <w:t xml:space="preserve">GHG Protocol</w:t>
      </w:r>
      <w:r>
        <w:t xml:space="preserve">,</w:t>
      </w:r>
      <w:r>
        <w:t xml:space="preserve"> </w:t>
      </w:r>
      <w:r>
        <w:t xml:space="preserve">the most widely used international accounting tool for understanding, quantifying, and managing greenhouse gas emissions.</w:t>
      </w:r>
      <w:r>
        <w:t xml:space="preserve"> </w:t>
      </w:r>
      <w:r>
        <w:t xml:space="preserve">Emissions are categorized into Scope 1 (direct emissions from owned or controlled sources), Scope 2 (indirect emissions</w:t>
      </w:r>
      <w:r>
        <w:t xml:space="preserve"> </w:t>
      </w:r>
      <w:r>
        <w:t xml:space="preserve">from the generation of purchased energy), and Scope 3 (all other indirect emissions that occur in a company’s value chain).</w:t>
      </w:r>
      <w:r>
        <w:t xml:space="preserve"> </w:t>
      </w:r>
      <w:r>
        <w:t xml:space="preserve">Furthermore, this analysis incorporates the principles of the 2026 Land Sector and Removals (LSR) Standard to</w:t>
      </w:r>
      <w:r>
        <w:t xml:space="preserve"> </w:t>
      </w:r>
      <w:r>
        <w:t xml:space="preserve">account for land use and carbon removals where applicable.</w:t>
      </w:r>
    </w:p>
    <w:bookmarkEnd w:id="23"/>
    <w:bookmarkStart w:id="24" w:name="functional-unit"/>
    <w:p>
      <w:pPr>
        <w:pStyle w:val="Heading2"/>
      </w:pPr>
      <w:r>
        <w:t xml:space="preserve">1.2. Functional Unit</w:t>
      </w:r>
    </w:p>
    <w:p>
      <w:pPr>
        <w:pStyle w:val="FirstParagraph"/>
      </w:pPr>
      <w:r>
        <w:t xml:space="preserve">The functional unit for this PCF analysis is defined as</w:t>
      </w:r>
      <w:r>
        <w:t xml:space="preserve"> </w:t>
      </w:r>
      <w:r>
        <w:rPr>
          <w:bCs/>
          <w:b/>
        </w:rPr>
        <w:t xml:space="preserve">1.0 unit of oxtnkhmuti</w:t>
      </w:r>
      <w:r>
        <w:t xml:space="preserve">. This serves as the reference</w:t>
      </w:r>
      <w:r>
        <w:t xml:space="preserve"> </w:t>
      </w:r>
      <w:r>
        <w:t xml:space="preserve">basis to which all input and output flows are related, ensuring comparability and consistency of the assessment results.</w:t>
      </w:r>
    </w:p>
    <w:bookmarkEnd w:id="24"/>
    <w:bookmarkStart w:id="25" w:name="system-boundary"/>
    <w:p>
      <w:pPr>
        <w:pStyle w:val="Heading2"/>
      </w:pPr>
      <w:r>
        <w:t xml:space="preserve">1.3. System Boundary</w:t>
      </w:r>
    </w:p>
    <w:p>
      <w:pPr>
        <w:pStyle w:val="FirstParagraph"/>
      </w:pPr>
      <w:r>
        <w:t xml:space="preserve">Initially specified as \'factory_gate\', the scope of this analysis has been extended to a</w:t>
      </w:r>
      <w:r>
        <w:t xml:space="preserve"> </w:t>
      </w:r>
      <w:r>
        <w:rPr>
          <w:bCs/>
          <w:b/>
        </w:rPr>
        <w:t xml:space="preserve">cradle-to-grave</w:t>
      </w:r>
      <w:r>
        <w:t xml:space="preserve"> </w:t>
      </w:r>
      <w:r>
        <w:t xml:space="preserve">assessment to align with the explicit requirements for \'Use Phase\' and \'End-of-Life\' calculations.</w:t>
      </w:r>
      <w:r>
        <w:t xml:space="preserve"> </w:t>
      </w:r>
      <w:r>
        <w:t xml:space="preserve">This comprehensive boundary encompasses all stages of the product\'s life cycle:</w:t>
      </w:r>
    </w:p>
    <w:p>
      <w:pPr>
        <w:numPr>
          <w:ilvl w:val="0"/>
          <w:numId w:val="1001"/>
        </w:numPr>
        <w:pStyle w:val="Compact"/>
      </w:pPr>
      <w:r>
        <w:rPr>
          <w:bCs/>
          <w:b/>
        </w:rPr>
        <w:t xml:space="preserve">Raw Material Acquisition &amp; Pre-processing (Upstream Scope 3):</w:t>
      </w:r>
      <w:r>
        <w:t xml:space="preserve"> </w:t>
      </w:r>
      <w:r>
        <w:t xml:space="preserve">Extraction, processing, and refining of materials.</w:t>
      </w:r>
    </w:p>
    <w:p>
      <w:pPr>
        <w:numPr>
          <w:ilvl w:val="0"/>
          <w:numId w:val="1001"/>
        </w:numPr>
        <w:pStyle w:val="Compact"/>
      </w:pPr>
      <w:r>
        <w:rPr>
          <w:bCs/>
          <w:b/>
        </w:rPr>
        <w:t xml:space="preserve">Manufacturing (Scope 1, 2 &amp; Upstream Scope 3):</w:t>
      </w:r>
      <w:r>
        <w:t xml:space="preserve"> </w:t>
      </w:r>
      <w:r>
        <w:t xml:space="preserve">Production of the product at</w:t>
      </w:r>
      <w:r>
        <w:t xml:space="preserve"> </w:t>
      </w:r>
      <w:r>
        <w:rPr>
          <w:bCs/>
          <w:b/>
        </w:rPr>
        <w:t xml:space="preserve">lmnljjpwdg</w:t>
      </w:r>
      <w:r>
        <w:t xml:space="preserve"> </w:t>
      </w:r>
      <w:r>
        <w:t xml:space="preserve">facilities, including energy consumption and direct emissions.</w:t>
      </w:r>
    </w:p>
    <w:p>
      <w:pPr>
        <w:numPr>
          <w:ilvl w:val="0"/>
          <w:numId w:val="1001"/>
        </w:numPr>
        <w:pStyle w:val="Compact"/>
      </w:pPr>
      <w:r>
        <w:rPr>
          <w:bCs/>
          <w:b/>
        </w:rPr>
        <w:t xml:space="preserve">Transport &amp; Distribution (Upstream &amp; Downstream Scope 3):</w:t>
      </w:r>
      <w:r>
        <w:t xml:space="preserve"> </w:t>
      </w:r>
      <w:r>
        <w:t xml:space="preserve">Transportation of raw materials to the factory, and finished goods to the end-user.</w:t>
      </w:r>
    </w:p>
    <w:p>
      <w:pPr>
        <w:numPr>
          <w:ilvl w:val="0"/>
          <w:numId w:val="1001"/>
        </w:numPr>
        <w:pStyle w:val="Compact"/>
      </w:pPr>
      <w:r>
        <w:rPr>
          <w:bCs/>
          <w:b/>
        </w:rPr>
        <w:t xml:space="preserve">Use Phase (Downstream Scope 3):</w:t>
      </w:r>
      <w:r>
        <w:t xml:space="preserve"> </w:t>
      </w:r>
      <w:r>
        <w:t xml:space="preserve">Energy consumption and other impacts during the product\'s active life.</w:t>
      </w:r>
    </w:p>
    <w:p>
      <w:pPr>
        <w:numPr>
          <w:ilvl w:val="0"/>
          <w:numId w:val="1001"/>
        </w:numPr>
        <w:pStyle w:val="Compact"/>
      </w:pPr>
      <w:r>
        <w:rPr>
          <w:bCs/>
          <w:b/>
        </w:rPr>
        <w:t xml:space="preserve">End-of-Life (Downstream Scope 3):</w:t>
      </w:r>
      <w:r>
        <w:t xml:space="preserve"> </w:t>
      </w:r>
      <w:r>
        <w:t xml:space="preserve">Recycling, disposal, and recovery processes at the end of the product\'s useful life.</w:t>
      </w:r>
    </w:p>
    <w:bookmarkEnd w:id="25"/>
    <w:bookmarkStart w:id="26" w:name="geographic-scope"/>
    <w:p>
      <w:pPr>
        <w:pStyle w:val="Heading2"/>
      </w:pPr>
      <w:r>
        <w:t xml:space="preserve">1.4. Geographic Scope</w:t>
      </w:r>
    </w:p>
    <w:p>
      <w:pPr>
        <w:pStyle w:val="FirstParagraph"/>
      </w:pPr>
      <w:r>
        <w:t xml:space="preserve">The final production country for</w:t>
      </w:r>
      <w:r>
        <w:t xml:space="preserve"> </w:t>
      </w:r>
      <w:r>
        <w:rPr>
          <w:bCs/>
          <w:b/>
        </w:rPr>
        <w:t xml:space="preserve">oxtnkhmuti</w:t>
      </w:r>
      <w:r>
        <w:t xml:space="preserve"> </w:t>
      </w:r>
      <w:r>
        <w:t xml:space="preserve">is</w:t>
      </w:r>
      <w:r>
        <w:t xml:space="preserve"> </w:t>
      </w:r>
      <w:r>
        <w:rPr>
          <w:bCs/>
          <w:b/>
        </w:rPr>
        <w:t xml:space="preserve">China</w:t>
      </w:r>
      <w:r>
        <w:t xml:space="preserve">, while the supply chain focus is</w:t>
      </w:r>
      <w:r>
        <w:t xml:space="preserve"> </w:t>
      </w:r>
      <w:r>
        <w:rPr>
          <w:bCs/>
          <w:b/>
        </w:rPr>
        <w:t xml:space="preserve">Europe Focused</w:t>
      </w:r>
      <w:r>
        <w:t xml:space="preserve">. This geographical context informs the selection of appropriate regional emission factors</w:t>
      </w:r>
      <w:r>
        <w:t xml:space="preserve"> </w:t>
      </w:r>
      <w:r>
        <w:t xml:space="preserve">and data sources for material sourcing and transportation.</w:t>
      </w:r>
    </w:p>
    <w:bookmarkEnd w:id="26"/>
    <w:bookmarkStart w:id="27" w:name="allocation"/>
    <w:p>
      <w:pPr>
        <w:pStyle w:val="Heading2"/>
      </w:pPr>
      <w:r>
        <w:t xml:space="preserve">1.5. Allocation</w:t>
      </w:r>
    </w:p>
    <w:p>
      <w:pPr>
        <w:pStyle w:val="FirstParagraph"/>
      </w:pPr>
      <w:r>
        <w:t xml:space="preserve">Allocation of environmental impacts is performed based on mass for co-products and economic value where direct physical</w:t>
      </w:r>
      <w:r>
        <w:t xml:space="preserve"> </w:t>
      </w:r>
      <w:r>
        <w:t xml:space="preserve">relationships are not applicable, following GHG Protocol guidance. For recycled content, the "cut-off" method is applied,</w:t>
      </w:r>
      <w:r>
        <w:t xml:space="preserve"> </w:t>
      </w:r>
      <w:r>
        <w:t xml:space="preserve">where the burden of virgin material production is assigned to the first user of the material.</w:t>
      </w:r>
    </w:p>
    <w:p>
      <w:r>
        <w:pict>
          <v:rect style="width:0;height:1.5pt" o:hralign="center" o:hrstd="t" o:hr="t"/>
        </w:pict>
      </w:r>
    </w:p>
    <w:bookmarkEnd w:id="27"/>
    <w:bookmarkEnd w:id="28"/>
    <w:bookmarkStart w:id="36" w:name="X939a47aef72a4a28c08ea406bdad185696e1f66"/>
    <w:p>
      <w:pPr>
        <w:pStyle w:val="Heading1"/>
      </w:pPr>
      <w:r>
        <w:t xml:space="preserve">2. Lifecycle Inventory (LCI) and Data Collection</w:t>
      </w:r>
    </w:p>
    <w:p>
      <w:pPr>
        <w:pStyle w:val="FirstParagraph"/>
      </w:pPr>
      <w:r>
        <w:t xml:space="preserve">This section details the primary and secondary data points collected and used for the analysis, mapping them</w:t>
      </w:r>
      <w:r>
        <w:t xml:space="preserve"> </w:t>
      </w:r>
      <w:r>
        <w:t xml:space="preserve">across the lifecycle stages. Due to the placeholder nature of some input parameters, illustrative sample data</w:t>
      </w:r>
      <w:r>
        <w:t xml:space="preserve"> </w:t>
      </w:r>
      <w:r>
        <w:t xml:space="preserve">has been generated for demonstration purposes, ensuring the structure follows the requested format.</w:t>
      </w:r>
    </w:p>
    <w:bookmarkStart w:id="29" w:name="material-inputs-bill-of-materials---bom"/>
    <w:p>
      <w:pPr>
        <w:pStyle w:val="Heading2"/>
      </w:pPr>
      <w:r>
        <w:t xml:space="preserve">2.1. Material Inputs (Bill of Materials - BOM)</w:t>
      </w:r>
    </w:p>
    <w:p>
      <w:pPr>
        <w:pStyle w:val="FirstParagraph"/>
      </w:pPr>
      <w:r>
        <w:t xml:space="preserve">The following table presents the detailed Bill of Materials for</w:t>
      </w:r>
      <w:r>
        <w:t xml:space="preserve"> </w:t>
      </w:r>
      <w:r>
        <w:rPr>
          <w:bCs/>
          <w:b/>
        </w:rPr>
        <w:t xml:space="preserve">oxtnkhmuti</w:t>
      </w:r>
      <w:r>
        <w:t xml:space="preserve">.</w:t>
      </w:r>
      <w:r>
        <w:t xml:space="preserve"> </w:t>
      </w:r>
      <w:r>
        <w:t xml:space="preserve">The data uses illustrative values based on the expected format: ID, Description, Category, Process, Qty, Unit, Emission Factor, Total Carbon.</w:t>
      </w:r>
      <w:r>
        <w:t xml:space="preserve"> </w:t>
      </w:r>
      <w:r>
        <w:t xml:space="preserve">*Note: The parameter</w:t>
      </w:r>
      <w:r>
        <w:t xml:space="preserve"> </w:t>
      </w:r>
      <w:r>
        <w:rPr>
          <w:rStyle w:val="VerbatimChar"/>
        </w:rPr>
        <w:t xml:space="preserve">uexehsjg</w:t>
      </w:r>
      <w:r>
        <w:t xml:space="preserve"> </w:t>
      </w:r>
      <w:r>
        <w:t xml:space="preserve">was provided as a string placeholder; therefore, sample data is used here to demonstrate the calculation methodology.*</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Primary Production, 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7.00</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ABS Plastic Components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3.50</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Fabrication, 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Mining, Refining,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4.00</w:t>
            </w:r>
          </w:p>
        </w:tc>
        <w:tc>
          <w:tcPr/>
          <w:p>
            <w:pPr>
              <w:pStyle w:val="Compact"/>
              <w:jc w:val="left"/>
            </w:pPr>
            <w:r>
              <w:t xml:space="preserve">0.20</w:t>
            </w:r>
          </w:p>
        </w:tc>
      </w:tr>
      <w:tr>
        <w:tc>
          <w:tcPr/>
          <w:p>
            <w:pPr>
              <w:pStyle w:val="Compact"/>
              <w:jc w:val="left"/>
            </w:pPr>
            <w:r>
              <w:t xml:space="preserve">M-005</w:t>
            </w:r>
          </w:p>
        </w:tc>
        <w:tc>
          <w:tcPr/>
          <w:p>
            <w:pPr>
              <w:pStyle w:val="Compact"/>
              <w:jc w:val="left"/>
            </w:pPr>
            <w:r>
              <w:t xml:space="preserve">Glass Display</w:t>
            </w:r>
          </w:p>
        </w:tc>
        <w:tc>
          <w:tcPr/>
          <w:p>
            <w:pPr>
              <w:pStyle w:val="Compact"/>
              <w:jc w:val="left"/>
            </w:pPr>
            <w:r>
              <w:t xml:space="preserve">Glass</w:t>
            </w:r>
          </w:p>
        </w:tc>
        <w:tc>
          <w:tcPr/>
          <w:p>
            <w:pPr>
              <w:pStyle w:val="Compact"/>
              <w:jc w:val="left"/>
            </w:pPr>
            <w:r>
              <w:t xml:space="preserve">Glass Melting, 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0.24</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Recycled Paper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0.50</w:t>
            </w:r>
          </w:p>
        </w:tc>
        <w:tc>
          <w:tcPr/>
          <w:p>
            <w:pPr>
              <w:pStyle w:val="Compact"/>
              <w:jc w:val="left"/>
            </w:pPr>
            <w:r>
              <w:t xml:space="preserve">0.08</w:t>
            </w:r>
          </w:p>
        </w:tc>
      </w:tr>
      <w:tr>
        <w:tc>
          <w:tcPr>
            <w:gridSpan w:val="7"/>
          </w:tcPr>
          <w:p>
            <w:pPr>
              <w:pStyle w:val="Compact"/>
              <w:jc w:val="right"/>
            </w:pPr>
            <w:r>
              <w:t xml:space="preserve">Total Material Emissions:</w:t>
            </w:r>
          </w:p>
        </w:tc>
        <w:tc>
          <w:tcPr/>
          <w:p>
            <w:pPr>
              <w:pStyle w:val="Compact"/>
              <w:jc w:val="left"/>
            </w:pPr>
            <w:r>
              <w:rPr>
                <w:bCs/>
                <w:b/>
              </w:rPr>
              <w:t xml:space="preserve">6.57</w:t>
            </w:r>
          </w:p>
        </w:tc>
      </w:tr>
    </w:tbl>
    <w:p>
      <w:pPr>
        <w:pStyle w:val="BodyText"/>
      </w:pPr>
      <w:r>
        <w:t xml:space="preserve">*Emission factors for materials are indicative, sourced from generalized industry averages (e.g., Ecoinvent, DEFRA equivalent data).</w:t>
      </w:r>
    </w:p>
    <w:bookmarkEnd w:id="29"/>
    <w:bookmarkStart w:id="30" w:name="energy-inputs-production-phase"/>
    <w:p>
      <w:pPr>
        <w:pStyle w:val="Heading2"/>
      </w:pPr>
      <w:r>
        <w:t xml:space="preserve">2.2. Energy Inputs (Production Phase)</w:t>
      </w:r>
    </w:p>
    <w:p>
      <w:pPr>
        <w:pStyle w:val="FirstParagraph"/>
      </w:pPr>
      <w:r>
        <w:t xml:space="preserve">The energy consumption during the manufacturing of</w:t>
      </w:r>
      <w:r>
        <w:t xml:space="preserve"> </w:t>
      </w:r>
      <w:r>
        <w:rPr>
          <w:bCs/>
          <w:b/>
        </w:rPr>
        <w:t xml:space="preserve">oxtnkhmuti</w:t>
      </w:r>
      <w:r>
        <w:t xml:space="preserve"> </w:t>
      </w:r>
      <w:r>
        <w:t xml:space="preserve">in China is detailed below.</w:t>
      </w:r>
      <w:r>
        <w:t xml:space="preserve"> </w:t>
      </w:r>
      <w:r>
        <w:t xml:space="preserve">*Note: The parameters</w:t>
      </w:r>
      <w:r>
        <w:t xml:space="preserve"> </w:t>
      </w:r>
      <w:r>
        <w:rPr>
          <w:rStyle w:val="VerbatimChar"/>
        </w:rPr>
        <w:t xml:space="preserve">lzhlrgjfqf</w:t>
      </w:r>
      <w:r>
        <w:t xml:space="preserve"> </w:t>
      </w:r>
      <w:r>
        <w:t xml:space="preserve">(Renewable Energy Usage) and</w:t>
      </w:r>
      <w:r>
        <w:t xml:space="preserve"> </w:t>
      </w:r>
      <w:r>
        <w:rPr>
          <w:rStyle w:val="VerbatimChar"/>
        </w:rPr>
        <w:t xml:space="preserve">txjjrjzmlg</w:t>
      </w:r>
      <w:r>
        <w:t xml:space="preserve"> </w:t>
      </w:r>
      <w:r>
        <w:t xml:space="preserve">(Energy Intensity) were provided as string placeholders; sample values are used here.*</w:t>
      </w:r>
    </w:p>
    <w:p>
      <w:pPr>
        <w:numPr>
          <w:ilvl w:val="0"/>
          <w:numId w:val="1002"/>
        </w:numPr>
        <w:pStyle w:val="Compact"/>
      </w:pPr>
      <w:r>
        <w:rPr>
          <w:bCs/>
          <w:b/>
        </w:rPr>
        <w:t xml:space="preserve">Energy Intensity (kWh/unit):</w:t>
      </w:r>
      <w:r>
        <w:t xml:space="preserve"> </w:t>
      </w:r>
      <w:r>
        <w:t xml:space="preserve">1.5 kWh/unit (sample value based on</w:t>
      </w:r>
      <w:r>
        <w:t xml:space="preserve"> </w:t>
      </w:r>
      <w:r>
        <w:rPr>
          <w:rStyle w:val="VerbatimChar"/>
        </w:rPr>
        <w:t xml:space="preserve">txjjrjzmlg</w:t>
      </w:r>
      <w:r>
        <w:t xml:space="preserve">)</w:t>
      </w:r>
    </w:p>
    <w:p>
      <w:pPr>
        <w:numPr>
          <w:ilvl w:val="0"/>
          <w:numId w:val="1002"/>
        </w:numPr>
        <w:pStyle w:val="Compact"/>
      </w:pPr>
      <w:r>
        <w:rPr>
          <w:bCs/>
          <w:b/>
        </w:rPr>
        <w:t xml:space="preserve">Renewable Energy Usage:</w:t>
      </w:r>
      <w:r>
        <w:t xml:space="preserve"> </w:t>
      </w:r>
      <w:r>
        <w:t xml:space="preserve">30% (sample value based on</w:t>
      </w:r>
      <w:r>
        <w:t xml:space="preserve"> </w:t>
      </w:r>
      <w:r>
        <w:rPr>
          <w:rStyle w:val="VerbatimChar"/>
        </w:rPr>
        <w:t xml:space="preserve">lzhlrgjfqf</w:t>
      </w:r>
      <w:r>
        <w:t xml:space="preserve">)</w:t>
      </w:r>
    </w:p>
    <w:p>
      <w:pPr>
        <w:numPr>
          <w:ilvl w:val="0"/>
          <w:numId w:val="1002"/>
        </w:numPr>
        <w:pStyle w:val="Compact"/>
      </w:pPr>
      <w:r>
        <w:rPr>
          <w:bCs/>
          <w:b/>
        </w:rPr>
        <w:t xml:space="preserve">Grid Electricity Emission Factor (China):</w:t>
      </w:r>
      <w:r>
        <w:t xml:space="preserve"> </w:t>
      </w:r>
      <w:r>
        <w:t xml:space="preserve">0.6 kg CO2e/kWh (approx. average for China, 2024 est.)</w:t>
      </w:r>
    </w:p>
    <w:p>
      <w:pPr>
        <w:numPr>
          <w:ilvl w:val="0"/>
          <w:numId w:val="1002"/>
        </w:numPr>
        <w:pStyle w:val="Compact"/>
      </w:pPr>
      <w:r>
        <w:rPr>
          <w:bCs/>
          <w:b/>
        </w:rPr>
        <w:t xml:space="preserve">Renewable Energy Emission Factor:</w:t>
      </w:r>
      <w:r>
        <w:t xml:space="preserve"> </w:t>
      </w:r>
      <w:r>
        <w:t xml:space="preserve">0.05 kg CO2e/kWh (for typical renewable sources, accounting for upstream impacts)</w:t>
      </w:r>
    </w:p>
    <w:bookmarkEnd w:id="30"/>
    <w:bookmarkStart w:id="33" w:name="logistics-data"/>
    <w:p>
      <w:pPr>
        <w:pStyle w:val="Heading2"/>
      </w:pPr>
      <w:r>
        <w:t xml:space="preserve">2.3. Logistics Data</w:t>
      </w:r>
    </w:p>
    <w:p>
      <w:pPr>
        <w:pStyle w:val="FirstParagraph"/>
      </w:pPr>
      <w:r>
        <w:t xml:space="preserve">Transportation of materials to the factory and distribution of the finished product are significant contributors to the PCF.</w:t>
      </w:r>
      <w:r>
        <w:t xml:space="preserve"> </w:t>
      </w:r>
      <w:r>
        <w:t xml:space="preserve">*Note: The parameters</w:t>
      </w:r>
      <w:r>
        <w:t xml:space="preserve"> </w:t>
      </w:r>
      <w:r>
        <w:rPr>
          <w:rStyle w:val="VerbatimChar"/>
        </w:rPr>
        <w:t xml:space="preserve">Select Mode</w:t>
      </w:r>
      <w:r>
        <w:t xml:space="preserve"> </w:t>
      </w:r>
      <w:r>
        <w:t xml:space="preserve">(Transport Mode),</w:t>
      </w:r>
      <w:r>
        <w:t xml:space="preserve"> </w:t>
      </w:r>
      <w:r>
        <w:rPr>
          <w:rStyle w:val="VerbatimChar"/>
        </w:rPr>
        <w:t xml:space="preserve">tozzssvozv</w:t>
      </w:r>
      <w:r>
        <w:t xml:space="preserve"> </w:t>
      </w:r>
      <w:r>
        <w:t xml:space="preserve">(Transport Distance), and</w:t>
      </w:r>
      <w:r>
        <w:t xml:space="preserve"> </w:t>
      </w:r>
      <w:r>
        <w:rPr>
          <w:rStyle w:val="VerbatimChar"/>
        </w:rPr>
        <w:t xml:space="preserve">Delivery Type</w:t>
      </w:r>
      <w:r>
        <w:t xml:space="preserve"> </w:t>
      </w:r>
      <w:r>
        <w:t xml:space="preserve">(Last-Mile Delivery Channel) were provided as string placeholders; sample values are used here.*</w:t>
      </w:r>
    </w:p>
    <w:bookmarkStart w:id="31" w:name="X4a799133c4cc9fb23db04165877b01b2ffe6d1f"/>
    <w:p>
      <w:pPr>
        <w:pStyle w:val="Heading3"/>
      </w:pPr>
      <w:r>
        <w:t xml:space="preserve">2.3.1. Upstream Transport (Materials to Factory - China)</w:t>
      </w:r>
    </w:p>
    <w:p>
      <w:pPr>
        <w:numPr>
          <w:ilvl w:val="0"/>
          <w:numId w:val="1003"/>
        </w:numPr>
        <w:pStyle w:val="Compact"/>
      </w:pPr>
      <w:r>
        <w:rPr>
          <w:bCs/>
          <w:b/>
        </w:rPr>
        <w:t xml:space="preserve">Assumed Origin:</w:t>
      </w:r>
      <w:r>
        <w:t xml:space="preserve"> </w:t>
      </w:r>
      <w:r>
        <w:t xml:space="preserve">Europe (Supply Chain Focus: Europe Focused)</w:t>
      </w:r>
    </w:p>
    <w:p>
      <w:pPr>
        <w:numPr>
          <w:ilvl w:val="0"/>
          <w:numId w:val="1003"/>
        </w:numPr>
        <w:pStyle w:val="Compact"/>
      </w:pPr>
      <w:r>
        <w:rPr>
          <w:bCs/>
          <w:b/>
        </w:rPr>
        <w:t xml:space="preserve">Transport Mode:</w:t>
      </w:r>
      <w:r>
        <w:t xml:space="preserve"> </w:t>
      </w:r>
      <w:r>
        <w:t xml:space="preserve">Ocean Freight (Container Ship) followed by Road Freight (HGV &gt; 32t) in China. (Based on</w:t>
      </w:r>
      <w:r>
        <w:t xml:space="preserve"> </w:t>
      </w:r>
      <w:r>
        <w:rPr>
          <w:rStyle w:val="VerbatimChar"/>
        </w:rPr>
        <w:t xml:space="preserve">Select Mode</w:t>
      </w:r>
      <w:r>
        <w:t xml:space="preserve"> </w:t>
      </w:r>
      <w:r>
        <w:t xml:space="preserve">placeholder)</w:t>
      </w:r>
    </w:p>
    <w:p>
      <w:pPr>
        <w:numPr>
          <w:ilvl w:val="0"/>
          <w:numId w:val="1003"/>
        </w:numPr>
        <w:pStyle w:val="Compact"/>
      </w:pPr>
      <w:r>
        <w:rPr>
          <w:bCs/>
          <w:b/>
        </w:rPr>
        <w:t xml:space="preserve">Transport Distance (Ocean):</w:t>
      </w:r>
      <w:r>
        <w:t xml:space="preserve"> </w:t>
      </w:r>
      <w:r>
        <w:t xml:space="preserve">15,000 km (sample value)</w:t>
      </w:r>
    </w:p>
    <w:p>
      <w:pPr>
        <w:numPr>
          <w:ilvl w:val="0"/>
          <w:numId w:val="1003"/>
        </w:numPr>
        <w:pStyle w:val="Compact"/>
      </w:pPr>
      <w:r>
        <w:rPr>
          <w:bCs/>
          <w:b/>
        </w:rPr>
        <w:t xml:space="preserve">Transport Distance (Road, China):</w:t>
      </w:r>
      <w:r>
        <w:t xml:space="preserve"> </w:t>
      </w:r>
      <w:r>
        <w:t xml:space="preserve">500 km (sample value)</w:t>
      </w:r>
    </w:p>
    <w:p>
      <w:pPr>
        <w:numPr>
          <w:ilvl w:val="0"/>
          <w:numId w:val="1003"/>
        </w:numPr>
        <w:pStyle w:val="Compact"/>
      </w:pPr>
      <w:r>
        <w:rPr>
          <w:bCs/>
          <w:b/>
        </w:rPr>
        <w:t xml:space="preserve">Ocean Freight Emission Factor:</w:t>
      </w:r>
      <w:r>
        <w:t xml:space="preserve"> </w:t>
      </w:r>
      <w:r>
        <w:t xml:space="preserve">0.008 kg CO2e/tkm (container ship average)</w:t>
      </w:r>
    </w:p>
    <w:p>
      <w:pPr>
        <w:numPr>
          <w:ilvl w:val="0"/>
          <w:numId w:val="1003"/>
        </w:numPr>
        <w:pStyle w:val="Compact"/>
      </w:pPr>
      <w:r>
        <w:rPr>
          <w:bCs/>
          <w:b/>
        </w:rPr>
        <w:t xml:space="preserve">Road Freight Emission Factor (HGV &gt; 32t, Diesel):</w:t>
      </w:r>
      <w:r>
        <w:t xml:space="preserve"> </w:t>
      </w:r>
      <w:r>
        <w:t xml:space="preserve">0.08 kg CO2e/tkm (Europe/China average)</w:t>
      </w:r>
    </w:p>
    <w:p>
      <w:pPr>
        <w:numPr>
          <w:ilvl w:val="0"/>
          <w:numId w:val="1003"/>
        </w:numPr>
        <w:pStyle w:val="Compact"/>
      </w:pPr>
      <w:r>
        <w:rPr>
          <w:bCs/>
          <w:b/>
        </w:rPr>
        <w:t xml:space="preserve">Assumed Product Mass:</w:t>
      </w:r>
      <w:r>
        <w:t xml:space="preserve"> </w:t>
      </w:r>
      <w:r>
        <w:t xml:space="preserve">1.5 kg (sum of material inputs for 1 unit)</w:t>
      </w:r>
    </w:p>
    <w:bookmarkEnd w:id="31"/>
    <w:bookmarkStart w:id="32" w:name="X8904e87f4e26fda3433fb2ea4b4c88ec7d5035d"/>
    <w:p>
      <w:pPr>
        <w:pStyle w:val="Heading3"/>
      </w:pPr>
      <w:r>
        <w:t xml:space="preserve">2.3.2. Downstream Transport (Factory to Consumer - Europe)</w:t>
      </w:r>
    </w:p>
    <w:p>
      <w:pPr>
        <w:numPr>
          <w:ilvl w:val="0"/>
          <w:numId w:val="1004"/>
        </w:numPr>
        <w:pStyle w:val="Compact"/>
      </w:pPr>
      <w:r>
        <w:rPr>
          <w:bCs/>
          <w:b/>
        </w:rPr>
        <w:t xml:space="preserve">Transport Mode:</w:t>
      </w:r>
      <w:r>
        <w:t xml:space="preserve"> </w:t>
      </w:r>
      <w:r>
        <w:t xml:space="preserve">Ocean Freight (Container Ship) to Europe, then Road Freight (HGV &gt; 32t), Last-Mile by Light Commercial Vehicle. (Based on</w:t>
      </w:r>
      <w:r>
        <w:t xml:space="preserve"> </w:t>
      </w:r>
      <w:r>
        <w:rPr>
          <w:rStyle w:val="VerbatimChar"/>
        </w:rPr>
        <w:t xml:space="preserve">Select Mode</w:t>
      </w:r>
      <w:r>
        <w:t xml:space="preserve"> </w:t>
      </w:r>
      <w:r>
        <w:t xml:space="preserve">&amp;</w:t>
      </w:r>
      <w:r>
        <w:t xml:space="preserve"> </w:t>
      </w:r>
      <w:r>
        <w:rPr>
          <w:rStyle w:val="VerbatimChar"/>
        </w:rPr>
        <w:t xml:space="preserve">Delivery Type</w:t>
      </w:r>
      <w:r>
        <w:t xml:space="preserve"> </w:t>
      </w:r>
      <w:r>
        <w:t xml:space="preserve">placeholders)</w:t>
      </w:r>
    </w:p>
    <w:p>
      <w:pPr>
        <w:numPr>
          <w:ilvl w:val="0"/>
          <w:numId w:val="1004"/>
        </w:numPr>
        <w:pStyle w:val="Compact"/>
      </w:pPr>
      <w:r>
        <w:rPr>
          <w:bCs/>
          <w:b/>
        </w:rPr>
        <w:t xml:space="preserve">Transport Distance (Ocean):</w:t>
      </w:r>
      <w:r>
        <w:t xml:space="preserve"> </w:t>
      </w:r>
      <w:r>
        <w:t xml:space="preserve">15,000 km (sample value)</w:t>
      </w:r>
    </w:p>
    <w:p>
      <w:pPr>
        <w:numPr>
          <w:ilvl w:val="0"/>
          <w:numId w:val="1004"/>
        </w:numPr>
        <w:pStyle w:val="Compact"/>
      </w:pPr>
      <w:r>
        <w:rPr>
          <w:bCs/>
          <w:b/>
        </w:rPr>
        <w:t xml:space="preserve">Transport Distance (Road, Europe):</w:t>
      </w:r>
      <w:r>
        <w:t xml:space="preserve"> </w:t>
      </w:r>
      <w:r>
        <w:t xml:space="preserve">1,000 km (sample value for primary distribution)</w:t>
      </w:r>
    </w:p>
    <w:p>
      <w:pPr>
        <w:numPr>
          <w:ilvl w:val="0"/>
          <w:numId w:val="1004"/>
        </w:numPr>
        <w:pStyle w:val="Compact"/>
      </w:pPr>
      <w:r>
        <w:rPr>
          <w:bCs/>
          <w:b/>
        </w:rPr>
        <w:t xml:space="preserve">Last-Mile Delivery Distance:</w:t>
      </w:r>
      <w:r>
        <w:t xml:space="preserve"> </w:t>
      </w:r>
      <w:r>
        <w:t xml:space="preserve">50 km (sample value)</w:t>
      </w:r>
    </w:p>
    <w:p>
      <w:pPr>
        <w:numPr>
          <w:ilvl w:val="0"/>
          <w:numId w:val="1004"/>
        </w:numPr>
        <w:pStyle w:val="Compact"/>
      </w:pPr>
      <w:r>
        <w:rPr>
          <w:bCs/>
          <w:b/>
        </w:rPr>
        <w:t xml:space="preserve">Ocean Freight Emission Factor:</w:t>
      </w:r>
      <w:r>
        <w:t xml:space="preserve"> </w:t>
      </w:r>
      <w:r>
        <w:t xml:space="preserve">0.008 kg CO2e/tkm</w:t>
      </w:r>
    </w:p>
    <w:p>
      <w:pPr>
        <w:numPr>
          <w:ilvl w:val="0"/>
          <w:numId w:val="1004"/>
        </w:numPr>
        <w:pStyle w:val="Compact"/>
      </w:pPr>
      <w:r>
        <w:rPr>
          <w:bCs/>
          <w:b/>
        </w:rPr>
        <w:t xml:space="preserve">Road Freight Emission Factor (HGV &gt; 32t, Diesel):</w:t>
      </w:r>
      <w:r>
        <w:t xml:space="preserve"> </w:t>
      </w:r>
      <w:r>
        <w:t xml:space="preserve">0.08 kg CO2e/tkm (Europe average)</w:t>
      </w:r>
    </w:p>
    <w:p>
      <w:pPr>
        <w:numPr>
          <w:ilvl w:val="0"/>
          <w:numId w:val="1004"/>
        </w:numPr>
        <w:pStyle w:val="Compact"/>
      </w:pPr>
      <w:r>
        <w:rPr>
          <w:bCs/>
          <w:b/>
        </w:rPr>
        <w:t xml:space="preserve">Last-Mile Emission Factor (Light Commercial Vehicle, Diesel):</w:t>
      </w:r>
      <w:r>
        <w:t xml:space="preserve"> </w:t>
      </w:r>
      <w:r>
        <w:t xml:space="preserve">0.25 kg CO2e/tkm (higher per tkm due to lower load factors)</w:t>
      </w:r>
    </w:p>
    <w:p>
      <w:pPr>
        <w:numPr>
          <w:ilvl w:val="0"/>
          <w:numId w:val="1004"/>
        </w:numPr>
        <w:pStyle w:val="Compact"/>
      </w:pPr>
      <w:r>
        <w:rPr>
          <w:bCs/>
          <w:b/>
        </w:rPr>
        <w:t xml:space="preserve">Assumed Product Mass:</w:t>
      </w:r>
      <w:r>
        <w:t xml:space="preserve"> </w:t>
      </w:r>
      <w:r>
        <w:t xml:space="preserve">1.5 kg</w:t>
      </w:r>
    </w:p>
    <w:bookmarkEnd w:id="32"/>
    <w:bookmarkEnd w:id="33"/>
    <w:bookmarkStart w:id="34" w:name="use-phase-data"/>
    <w:p>
      <w:pPr>
        <w:pStyle w:val="Heading2"/>
      </w:pPr>
      <w:r>
        <w:t xml:space="preserve">2.4. Use Phase Data</w:t>
      </w:r>
    </w:p>
    <w:p>
      <w:pPr>
        <w:pStyle w:val="FirstParagraph"/>
      </w:pPr>
      <w:r>
        <w:t xml:space="preserve">The emissions during the use phase of</w:t>
      </w:r>
      <w:r>
        <w:t xml:space="preserve"> </w:t>
      </w:r>
      <w:r>
        <w:rPr>
          <w:bCs/>
          <w:b/>
        </w:rPr>
        <w:t xml:space="preserve">oxtnkhmuti</w:t>
      </w:r>
      <w:r>
        <w:t xml:space="preserve"> </w:t>
      </w:r>
      <w:r>
        <w:t xml:space="preserve">are calculated based on its expected lifespan and energy consumption.</w:t>
      </w:r>
      <w:r>
        <w:t xml:space="preserve"> </w:t>
      </w:r>
      <w:r>
        <w:t xml:space="preserve">*Note: The parameters</w:t>
      </w:r>
      <w:r>
        <w:t xml:space="preserve"> </w:t>
      </w:r>
      <w:r>
        <w:rPr>
          <w:rStyle w:val="VerbatimChar"/>
        </w:rPr>
        <w:t xml:space="preserve">mnigzyyqxk</w:t>
      </w:r>
      <w:r>
        <w:t xml:space="preserve"> </w:t>
      </w:r>
      <w:r>
        <w:t xml:space="preserve">(Product Lifespan) and</w:t>
      </w:r>
      <w:r>
        <w:t xml:space="preserve"> </w:t>
      </w:r>
      <w:r>
        <w:rPr>
          <w:rStyle w:val="VerbatimChar"/>
        </w:rPr>
        <w:t xml:space="preserve">tfetxlxgye</w:t>
      </w:r>
      <w:r>
        <w:t xml:space="preserve"> </w:t>
      </w:r>
      <w:r>
        <w:t xml:space="preserve">(Energy Consumption in Use) were provided as string placeholders; sample values are used here.*</w:t>
      </w:r>
    </w:p>
    <w:p>
      <w:pPr>
        <w:numPr>
          <w:ilvl w:val="0"/>
          <w:numId w:val="1005"/>
        </w:numPr>
        <w:pStyle w:val="Compact"/>
      </w:pPr>
      <w:r>
        <w:rPr>
          <w:bCs/>
          <w:b/>
        </w:rPr>
        <w:t xml:space="preserve">Product Lifespan:</w:t>
      </w:r>
      <w:r>
        <w:t xml:space="preserve"> </w:t>
      </w:r>
      <w:r>
        <w:t xml:space="preserve">3 years (sample value based on</w:t>
      </w:r>
      <w:r>
        <w:t xml:space="preserve"> </w:t>
      </w:r>
      <w:r>
        <w:rPr>
          <w:rStyle w:val="VerbatimChar"/>
        </w:rPr>
        <w:t xml:space="preserve">mnigzyyqxk</w:t>
      </w:r>
      <w:r>
        <w:t xml:space="preserve">)</w:t>
      </w:r>
    </w:p>
    <w:p>
      <w:pPr>
        <w:numPr>
          <w:ilvl w:val="0"/>
          <w:numId w:val="1005"/>
        </w:numPr>
        <w:pStyle w:val="Compact"/>
      </w:pPr>
      <w:r>
        <w:rPr>
          <w:bCs/>
          <w:b/>
        </w:rPr>
        <w:t xml:space="preserve">Energy Consumption in Use (Annual):</w:t>
      </w:r>
      <w:r>
        <w:t xml:space="preserve"> </w:t>
      </w:r>
      <w:r>
        <w:t xml:space="preserve">10 kWh/year (sample value based on</w:t>
      </w:r>
      <w:r>
        <w:t xml:space="preserve"> </w:t>
      </w:r>
      <w:r>
        <w:rPr>
          <w:rStyle w:val="VerbatimChar"/>
        </w:rPr>
        <w:t xml:space="preserve">tfetxlxgye</w:t>
      </w:r>
      <w:r>
        <w:t xml:space="preserve">)</w:t>
      </w:r>
    </w:p>
    <w:p>
      <w:pPr>
        <w:numPr>
          <w:ilvl w:val="0"/>
          <w:numId w:val="1005"/>
        </w:numPr>
        <w:pStyle w:val="Compact"/>
      </w:pPr>
      <w:r>
        <w:rPr>
          <w:bCs/>
          <w:b/>
        </w:rPr>
        <w:t xml:space="preserve">Assumed Electricity Grid Mix (Europe Average):</w:t>
      </w:r>
      <w:r>
        <w:t xml:space="preserve"> </w:t>
      </w:r>
      <w:r>
        <w:t xml:space="preserve">0.25 kg CO2e/kWh (EU-27 average, 2024 est.)</w:t>
      </w:r>
    </w:p>
    <w:bookmarkEnd w:id="34"/>
    <w:bookmarkStart w:id="35" w:name="end-of-life-eol-data"/>
    <w:p>
      <w:pPr>
        <w:pStyle w:val="Heading2"/>
      </w:pPr>
      <w:r>
        <w:t xml:space="preserve">2.5. End-of-Life (EoL) Data</w:t>
      </w:r>
    </w:p>
    <w:p>
      <w:pPr>
        <w:pStyle w:val="FirstParagraph"/>
      </w:pPr>
      <w:r>
        <w:t xml:space="preserve">End-of-Life scenarios for</w:t>
      </w:r>
      <w:r>
        <w:t xml:space="preserve"> </w:t>
      </w:r>
      <w:r>
        <w:rPr>
          <w:bCs/>
          <w:b/>
        </w:rPr>
        <w:t xml:space="preserve">oxtnkhmuti</w:t>
      </w:r>
      <w:r>
        <w:t xml:space="preserve"> </w:t>
      </w:r>
      <w:r>
        <w:t xml:space="preserve">incorporate recyclability and circular economy initiatives.</w:t>
      </w:r>
      <w:r>
        <w:t xml:space="preserve"> </w:t>
      </w:r>
      <w:r>
        <w:t xml:space="preserve">*Note: The parameters</w:t>
      </w:r>
      <w:r>
        <w:t xml:space="preserve"> </w:t>
      </w:r>
      <w:r>
        <w:rPr>
          <w:rStyle w:val="VerbatimChar"/>
        </w:rPr>
        <w:t xml:space="preserve">nhuswvuivw</w:t>
      </w:r>
      <w:r>
        <w:t xml:space="preserve"> </w:t>
      </w:r>
      <w:r>
        <w:t xml:space="preserve">(Recyclability Percentage) and</w:t>
      </w:r>
      <w:r>
        <w:t xml:space="preserve"> </w:t>
      </w:r>
      <w:r>
        <w:rPr>
          <w:rStyle w:val="VerbatimChar"/>
        </w:rPr>
        <w:t xml:space="preserve">ijkognurlg</w:t>
      </w:r>
      <w:r>
        <w:t xml:space="preserve"> </w:t>
      </w:r>
      <w:r>
        <w:t xml:space="preserve">(Circular/Take-back Programs) were provided as string placeholders; sample values are used here.*</w:t>
      </w:r>
    </w:p>
    <w:p>
      <w:pPr>
        <w:numPr>
          <w:ilvl w:val="0"/>
          <w:numId w:val="1006"/>
        </w:numPr>
        <w:pStyle w:val="Compact"/>
      </w:pPr>
      <w:r>
        <w:rPr>
          <w:bCs/>
          <w:b/>
        </w:rPr>
        <w:t xml:space="preserve">Recyclability Percentage:</w:t>
      </w:r>
      <w:r>
        <w:t xml:space="preserve"> </w:t>
      </w:r>
      <w:r>
        <w:t xml:space="preserve">70% (sample value based on</w:t>
      </w:r>
      <w:r>
        <w:t xml:space="preserve"> </w:t>
      </w:r>
      <w:r>
        <w:rPr>
          <w:rStyle w:val="VerbatimChar"/>
        </w:rPr>
        <w:t xml:space="preserve">nhuswvuivw</w:t>
      </w:r>
      <w:r>
        <w:t xml:space="preserve">)</w:t>
      </w:r>
    </w:p>
    <w:p>
      <w:pPr>
        <w:numPr>
          <w:ilvl w:val="0"/>
          <w:numId w:val="1006"/>
        </w:numPr>
        <w:pStyle w:val="Compact"/>
      </w:pPr>
      <w:r>
        <w:rPr>
          <w:bCs/>
          <w:b/>
        </w:rPr>
        <w:t xml:space="preserve">Circular/Take-back Programs:</w:t>
      </w:r>
      <w:r>
        <w:t xml:space="preserve"> </w:t>
      </w:r>
      <w:r>
        <w:t xml:space="preserve">Company participates in a voluntary take-back and recycling program, enhancing material recovery. (based on</w:t>
      </w:r>
      <w:r>
        <w:t xml:space="preserve"> </w:t>
      </w:r>
      <w:r>
        <w:rPr>
          <w:rStyle w:val="VerbatimChar"/>
        </w:rPr>
        <w:t xml:space="preserve">ijkognurlg</w:t>
      </w:r>
      <w:r>
        <w:t xml:space="preserve"> </w:t>
      </w:r>
      <w:r>
        <w:t xml:space="preserve">placeholder)</w:t>
      </w:r>
    </w:p>
    <w:p>
      <w:pPr>
        <w:numPr>
          <w:ilvl w:val="0"/>
          <w:numId w:val="1006"/>
        </w:numPr>
        <w:pStyle w:val="Compact"/>
      </w:pPr>
      <w:r>
        <w:rPr>
          <w:bCs/>
          <w:b/>
        </w:rPr>
        <w:t xml:space="preserve">Avoided Emissions Factor (Recycled Aluminum):</w:t>
      </w:r>
      <w:r>
        <w:t xml:space="preserve"> </w:t>
      </w:r>
      <w:r>
        <w:t xml:space="preserve">-5.0 kg CO2e/kg (credit for displacing virgin material)</w:t>
      </w:r>
    </w:p>
    <w:p>
      <w:pPr>
        <w:numPr>
          <w:ilvl w:val="0"/>
          <w:numId w:val="1006"/>
        </w:numPr>
        <w:pStyle w:val="Compact"/>
      </w:pPr>
      <w:r>
        <w:rPr>
          <w:bCs/>
          <w:b/>
        </w:rPr>
        <w:t xml:space="preserve">Avoided Emissions Factor (Recycled Plastic):</w:t>
      </w:r>
      <w:r>
        <w:t xml:space="preserve"> </w:t>
      </w:r>
      <w:r>
        <w:t xml:space="preserve">-2.0 kg CO2e/kg (credit for displacing virgin material)</w:t>
      </w:r>
    </w:p>
    <w:p>
      <w:pPr>
        <w:numPr>
          <w:ilvl w:val="0"/>
          <w:numId w:val="1006"/>
        </w:numPr>
        <w:pStyle w:val="Compact"/>
      </w:pPr>
      <w:r>
        <w:rPr>
          <w:bCs/>
          <w:b/>
        </w:rPr>
        <w:t xml:space="preserve">Disposal (Landfill) Emission Factor:</w:t>
      </w:r>
      <w:r>
        <w:t xml:space="preserve"> </w:t>
      </w:r>
      <w:r>
        <w:t xml:space="preserve">0.05 kg CO2e/kg (for non-recyclable residual waste)</w:t>
      </w:r>
    </w:p>
    <w:p>
      <w:r>
        <w:pict>
          <v:rect style="width:0;height:1.5pt" o:hralign="center" o:hrstd="t" o:hr="t"/>
        </w:pict>
      </w:r>
    </w:p>
    <w:bookmarkEnd w:id="35"/>
    <w:bookmarkEnd w:id="36"/>
    <w:bookmarkStart w:id="51" w:name="Xdd1c2ba429305467bad58a0828410d9d0fce25c"/>
    <w:p>
      <w:pPr>
        <w:pStyle w:val="Heading1"/>
      </w:pPr>
      <w:r>
        <w:t xml:space="preserve">3. Emissions Calculation (Activity * Emission Factor = CO2e)</w:t>
      </w:r>
    </w:p>
    <w:p>
      <w:pPr>
        <w:pStyle w:val="FirstParagraph"/>
      </w:pPr>
      <w:r>
        <w:t xml:space="preserve">This section calculates the total Product Carbon Footprint for 1.0 unit of</w:t>
      </w:r>
      <w:r>
        <w:t xml:space="preserve"> </w:t>
      </w:r>
      <w:r>
        <w:rPr>
          <w:bCs/>
          <w:b/>
        </w:rPr>
        <w:t xml:space="preserve">oxtnkhmuti</w:t>
      </w:r>
      <w:r>
        <w:t xml:space="preserve">, breaking down emissions</w:t>
      </w:r>
      <w:r>
        <w:t xml:space="preserve"> </w:t>
      </w:r>
      <w:r>
        <w:t xml:space="preserve">by lifecycle stage and GHG Protocol scope. All calculations use the sample data provided in Section 2.</w:t>
      </w:r>
    </w:p>
    <w:bookmarkStart w:id="42" w:name="X8938f92ada815baacc2d790239de08fb6adc47d"/>
    <w:p>
      <w:pPr>
        <w:pStyle w:val="Heading2"/>
      </w:pPr>
      <w:r>
        <w:t xml:space="preserve">3.1. Manufacturing Phase (Cradle-to-Gate) Emissions</w:t>
      </w:r>
    </w:p>
    <w:bookmarkStart w:id="38" w:name="Xc4898b6d4ce30ff608b86aff4c2bdf5979f8ac9"/>
    <w:p>
      <w:pPr>
        <w:pStyle w:val="Heading3"/>
      </w:pPr>
      <w:r>
        <w:t xml:space="preserve">3.1.1. Raw Material Acquisition &amp; Pre-processing (Scope 3 Upstream)</w:t>
      </w:r>
    </w:p>
    <w:p>
      <w:pPr>
        <w:pStyle w:val="FirstParagraph"/>
      </w:pPr>
      <w:r>
        <w:t xml:space="preserve">Total emissions from material production, as calculated from the detailed BOM:</w:t>
      </w:r>
    </w:p>
    <w:p>
      <w:pPr>
        <w:pStyle w:val="BodyText"/>
      </w:pPr>
      <w:r>
        <w:rPr>
          <w:bCs/>
          <w:b/>
        </w:rPr>
        <w:t xml:space="preserve">Total Material Emissions:</w:t>
      </w:r>
      <w:r>
        <w:rPr>
          <w:bCs/>
          <w:b/>
        </w:rPr>
        <w:t xml:space="preserve"> </w:t>
      </w:r>
      <w:bookmarkStart w:id="37" w:name="materialEmissionsResult"/>
      <w:r>
        <w:rPr>
          <w:bCs/>
          <w:b/>
        </w:rPr>
        <w:t xml:space="preserve">6.57</w:t>
      </w:r>
      <w:bookmarkEnd w:id="37"/>
      <w:r>
        <w:rPr>
          <w:bCs/>
          <w:b/>
        </w:rPr>
        <w:t xml:space="preserve"> </w:t>
      </w:r>
      <w:r>
        <w:rPr>
          <w:bCs/>
          <w:b/>
        </w:rPr>
        <w:t xml:space="preserve">kg CO2e</w:t>
      </w:r>
    </w:p>
    <w:bookmarkEnd w:id="38"/>
    <w:bookmarkStart w:id="39" w:name="manufacturing-energy-consumption-scope-2"/>
    <w:p>
      <w:pPr>
        <w:pStyle w:val="Heading3"/>
      </w:pPr>
      <w:r>
        <w:t xml:space="preserve">3.1.2. Manufacturing Energy Consumption (Scope 2)</w:t>
      </w:r>
    </w:p>
    <w:p>
      <w:pPr>
        <w:pStyle w:val="FirstParagraph"/>
      </w:pPr>
      <w:r>
        <w:t xml:space="preserve">Manufacturing takes place in China.</w:t>
      </w:r>
    </w:p>
    <w:p>
      <w:pPr>
        <w:numPr>
          <w:ilvl w:val="0"/>
          <w:numId w:val="1007"/>
        </w:numPr>
        <w:pStyle w:val="Compact"/>
      </w:pPr>
      <w:r>
        <w:t xml:space="preserve">Total Energy Consumed: 1.5 kWh/unit</w:t>
      </w:r>
    </w:p>
    <w:p>
      <w:pPr>
        <w:numPr>
          <w:ilvl w:val="0"/>
          <w:numId w:val="1007"/>
        </w:numPr>
        <w:pStyle w:val="Compact"/>
      </w:pPr>
      <w:r>
        <w:t xml:space="preserve">Renewable Energy Share: 30%</w:t>
      </w:r>
    </w:p>
    <w:p>
      <w:pPr>
        <w:numPr>
          <w:ilvl w:val="0"/>
          <w:numId w:val="1007"/>
        </w:numPr>
        <w:pStyle w:val="Compact"/>
      </w:pPr>
      <w:r>
        <w:t xml:space="preserve">Non-Renewable Energy Share: 70%</w:t>
      </w:r>
    </w:p>
    <w:p>
      <w:pPr>
        <w:numPr>
          <w:ilvl w:val="0"/>
          <w:numId w:val="1007"/>
        </w:numPr>
        <w:pStyle w:val="Compact"/>
      </w:pPr>
      <w:r>
        <w:t xml:space="preserve">Non-Renewable Energy Consumed: 1.5 kWh * 0.70 = 1.05 kWh</w:t>
      </w:r>
    </w:p>
    <w:p>
      <w:pPr>
        <w:numPr>
          <w:ilvl w:val="0"/>
          <w:numId w:val="1007"/>
        </w:numPr>
        <w:pStyle w:val="Compact"/>
      </w:pPr>
      <w:r>
        <w:t xml:space="preserve">Renewable Energy Consumed: 1.5 kWh * 0.30 = 0.45 kWh</w:t>
      </w:r>
    </w:p>
    <w:p>
      <w:pPr>
        <w:pStyle w:val="FirstParagraph"/>
      </w:pPr>
      <w:r>
        <w:rPr>
          <w:bCs/>
          <w:b/>
        </w:rPr>
        <w:t xml:space="preserve">Scope 2 Emissions (Purchased Electricity):</w:t>
      </w:r>
      <w:r>
        <w:t xml:space="preserve"> </w:t>
      </w:r>
      <w:r>
        <w:t xml:space="preserve">(1.05 kWh * 0.6 kg CO2e/kWh [China Grid]) + (0.45 kWh * 0.05 kg CO2e/kWh [Renewable]) = 0.63 kg CO2e + 0.0225 kg CO2e =</w:t>
      </w:r>
      <w:r>
        <w:t xml:space="preserve"> </w:t>
      </w:r>
      <w:r>
        <w:rPr>
          <w:bCs/>
          <w:b/>
        </w:rPr>
        <w:t xml:space="preserve">0.65</w:t>
      </w:r>
      <w:r>
        <w:t xml:space="preserve"> </w:t>
      </w:r>
      <w:r>
        <w:t xml:space="preserve">kg CO2e</w:t>
      </w:r>
    </w:p>
    <w:p>
      <w:pPr>
        <w:pStyle w:val="BodyText"/>
      </w:pPr>
      <w:r>
        <w:t xml:space="preserve">*Note: Direct (Scope 1) emissions from manufacturing processes (e.g., fuel combustion on-site) are assumed to be negligible without specific data, or included within the electricity EF if indirectly through grid. For a full analysis, these would be quantified.*</w:t>
      </w:r>
    </w:p>
    <w:bookmarkEnd w:id="39"/>
    <w:bookmarkStart w:id="41" w:name="X48abf51192a6cdc58e8055e88c59c86c5eb2240"/>
    <w:p>
      <w:pPr>
        <w:pStyle w:val="Heading3"/>
      </w:pPr>
      <w:r>
        <w:t xml:space="preserve">3.1.3. Upstream Transport Emissions (Scope 3 Upstream)</w:t>
      </w:r>
    </w:p>
    <w:p>
      <w:pPr>
        <w:pStyle w:val="FirstParagraph"/>
      </w:pPr>
      <w:r>
        <w:t xml:space="preserve">Transport of materials from Europe to the factory in China for a 1.5 kg product.</w:t>
      </w:r>
    </w:p>
    <w:p>
      <w:pPr>
        <w:numPr>
          <w:ilvl w:val="0"/>
          <w:numId w:val="1008"/>
        </w:numPr>
        <w:pStyle w:val="Compact"/>
      </w:pPr>
      <w:r>
        <w:t xml:space="preserve">Ocean Freight: 1.5 kg product mass (0.0015 t) * 15,000 km * 0.008 kg CO2e/tkm = 0.18 kg CO2e</w:t>
      </w:r>
    </w:p>
    <w:p>
      <w:pPr>
        <w:numPr>
          <w:ilvl w:val="0"/>
          <w:numId w:val="1008"/>
        </w:numPr>
        <w:pStyle w:val="Compact"/>
      </w:pPr>
      <w:r>
        <w:t xml:space="preserve">Road Freight (China): 1.5 kg product mass (0.0015 t) * 500 km * 0.08 kg CO2e/tkm = 0.06 kg CO2e</w:t>
      </w:r>
    </w:p>
    <w:p>
      <w:pPr>
        <w:pStyle w:val="FirstParagraph"/>
      </w:pPr>
      <w:r>
        <w:rPr>
          <w:bCs/>
          <w:b/>
        </w:rPr>
        <w:t xml:space="preserve">Total Upstream Transport Emissions:</w:t>
      </w:r>
      <w:r>
        <w:rPr>
          <w:bCs/>
          <w:b/>
        </w:rPr>
        <w:t xml:space="preserve"> </w:t>
      </w:r>
      <w:bookmarkStart w:id="40" w:name="upstreamTransportEmissions"/>
      <w:r>
        <w:rPr>
          <w:bCs/>
          <w:b/>
        </w:rPr>
        <w:t xml:space="preserve">0.24</w:t>
      </w:r>
      <w:bookmarkEnd w:id="40"/>
      <w:r>
        <w:rPr>
          <w:bCs/>
          <w:b/>
        </w:rPr>
        <w:t xml:space="preserve"> </w:t>
      </w:r>
      <w:r>
        <w:rPr>
          <w:bCs/>
          <w:b/>
        </w:rPr>
        <w:t xml:space="preserve">kg CO2e</w:t>
      </w:r>
    </w:p>
    <w:bookmarkEnd w:id="41"/>
    <w:bookmarkEnd w:id="42"/>
    <w:bookmarkStart w:id="49" w:name="downstream-emissions-post-gate"/>
    <w:p>
      <w:pPr>
        <w:pStyle w:val="Heading2"/>
      </w:pPr>
      <w:r>
        <w:t xml:space="preserve">3.2. Downstream Emissions (Post-Gate)</w:t>
      </w:r>
    </w:p>
    <w:bookmarkStart w:id="44" w:name="X08fd68c1bc3619ea36368a5f9d31655890cec9e"/>
    <w:p>
      <w:pPr>
        <w:pStyle w:val="Heading3"/>
      </w:pPr>
      <w:r>
        <w:t xml:space="preserve">3.2.1. Downstream Transport &amp; Distribution (Scope 3 Downstream)</w:t>
      </w:r>
    </w:p>
    <w:p>
      <w:pPr>
        <w:pStyle w:val="FirstParagraph"/>
      </w:pPr>
      <w:r>
        <w:t xml:space="preserve">Transport of finished product from factory in China to consumer in Europe for a 1.5 kg product.</w:t>
      </w:r>
    </w:p>
    <w:p>
      <w:pPr>
        <w:numPr>
          <w:ilvl w:val="0"/>
          <w:numId w:val="1009"/>
        </w:numPr>
        <w:pStyle w:val="Compact"/>
      </w:pPr>
      <w:r>
        <w:t xml:space="preserve">Ocean Freight: 1.5 kg product mass (0.0015 t) * 15,000 km * 0.008 kg CO2e/tkm = 0.18 kg CO2e</w:t>
      </w:r>
    </w:p>
    <w:p>
      <w:pPr>
        <w:numPr>
          <w:ilvl w:val="0"/>
          <w:numId w:val="1009"/>
        </w:numPr>
        <w:pStyle w:val="Compact"/>
      </w:pPr>
      <w:r>
        <w:t xml:space="preserve">Road Freight (Europe): 1.5 kg product mass (0.0015 t) * 1,000 km * 0.08 kg CO2e/tkm = 0.12 kg CO2e</w:t>
      </w:r>
    </w:p>
    <w:p>
      <w:pPr>
        <w:numPr>
          <w:ilvl w:val="0"/>
          <w:numId w:val="1009"/>
        </w:numPr>
        <w:pStyle w:val="Compact"/>
      </w:pPr>
      <w:r>
        <w:t xml:space="preserve">Last-Mile Delivery: 1.5 kg product mass (0.0015 t) * 50 km * 0.25 kg CO2e/tkm = 0.01875 kg CO2e</w:t>
      </w:r>
    </w:p>
    <w:p>
      <w:pPr>
        <w:pStyle w:val="FirstParagraph"/>
      </w:pPr>
      <w:r>
        <w:rPr>
          <w:bCs/>
          <w:b/>
        </w:rPr>
        <w:t xml:space="preserve">Total Downstream Transport Emissions:</w:t>
      </w:r>
      <w:r>
        <w:rPr>
          <w:bCs/>
          <w:b/>
        </w:rPr>
        <w:t xml:space="preserve"> </w:t>
      </w:r>
      <w:bookmarkStart w:id="43" w:name="downstreamTransportEmissions"/>
      <w:r>
        <w:rPr>
          <w:bCs/>
          <w:b/>
        </w:rPr>
        <w:t xml:space="preserve">0.32</w:t>
      </w:r>
      <w:bookmarkEnd w:id="43"/>
      <w:r>
        <w:rPr>
          <w:bCs/>
          <w:b/>
        </w:rPr>
        <w:t xml:space="preserve"> </w:t>
      </w:r>
      <w:r>
        <w:rPr>
          <w:bCs/>
          <w:b/>
        </w:rPr>
        <w:t xml:space="preserve">kg CO2e</w:t>
      </w:r>
    </w:p>
    <w:bookmarkEnd w:id="44"/>
    <w:bookmarkStart w:id="46" w:name="use-phase-emissions-scope-3-downstream"/>
    <w:p>
      <w:pPr>
        <w:pStyle w:val="Heading3"/>
      </w:pPr>
      <w:r>
        <w:t xml:space="preserve">3.2.2. Use Phase Emissions (Scope 3 Downstream)</w:t>
      </w:r>
    </w:p>
    <w:p>
      <w:pPr>
        <w:pStyle w:val="FirstParagraph"/>
      </w:pPr>
      <w:r>
        <w:t xml:space="preserve">Product lifespan of 3 years, consuming 10 kWh/year.</w:t>
      </w:r>
    </w:p>
    <w:p>
      <w:pPr>
        <w:numPr>
          <w:ilvl w:val="0"/>
          <w:numId w:val="1010"/>
        </w:numPr>
        <w:pStyle w:val="Compact"/>
      </w:pPr>
      <w:r>
        <w:t xml:space="preserve">Total Energy Consumption over Lifespan: 10 kWh/year * 3 years = 30 kWh</w:t>
      </w:r>
    </w:p>
    <w:p>
      <w:pPr>
        <w:numPr>
          <w:ilvl w:val="0"/>
          <w:numId w:val="1010"/>
        </w:numPr>
        <w:pStyle w:val="Compact"/>
      </w:pPr>
      <w:r>
        <w:t xml:space="preserve">Emissions: 30 kWh * 0.25 kg CO2e/kWh (Europe Average) = 7.5 kg CO2e</w:t>
      </w:r>
    </w:p>
    <w:p>
      <w:pPr>
        <w:pStyle w:val="FirstParagraph"/>
      </w:pPr>
      <w:r>
        <w:rPr>
          <w:bCs/>
          <w:b/>
        </w:rPr>
        <w:t xml:space="preserve">Total Use Phase Emissions:</w:t>
      </w:r>
      <w:r>
        <w:rPr>
          <w:bCs/>
          <w:b/>
        </w:rPr>
        <w:t xml:space="preserve"> </w:t>
      </w:r>
      <w:bookmarkStart w:id="45" w:name="usePhaseEmissions"/>
      <w:r>
        <w:rPr>
          <w:bCs/>
          <w:b/>
        </w:rPr>
        <w:t xml:space="preserve">7.50</w:t>
      </w:r>
      <w:bookmarkEnd w:id="45"/>
      <w:r>
        <w:rPr>
          <w:bCs/>
          <w:b/>
        </w:rPr>
        <w:t xml:space="preserve"> </w:t>
      </w:r>
      <w:r>
        <w:rPr>
          <w:bCs/>
          <w:b/>
        </w:rPr>
        <w:t xml:space="preserve">kg CO2e</w:t>
      </w:r>
    </w:p>
    <w:bookmarkEnd w:id="46"/>
    <w:bookmarkStart w:id="48" w:name="X95b2f0ba06572927a215582bbfaa8728177d25c"/>
    <w:p>
      <w:pPr>
        <w:pStyle w:val="Heading3"/>
      </w:pPr>
      <w:r>
        <w:t xml:space="preserve">3.2.3. End-of-Life Emissions / Credits (Scope 3 Downstream)</w:t>
      </w:r>
    </w:p>
    <w:p>
      <w:pPr>
        <w:pStyle w:val="FirstParagraph"/>
      </w:pPr>
      <w:r>
        <w:t xml:space="preserve">Product mass: 1.5 kg. Recyclability: 70%. Disposal: 30%.</w:t>
      </w:r>
    </w:p>
    <w:p>
      <w:pPr>
        <w:numPr>
          <w:ilvl w:val="0"/>
          <w:numId w:val="1011"/>
        </w:numPr>
        <w:pStyle w:val="Compact"/>
      </w:pPr>
      <w:r>
        <w:t xml:space="preserve">Recycled Content: 1.5 kg * 0.70 = 1.05 kg</w:t>
      </w:r>
    </w:p>
    <w:p>
      <w:pPr>
        <w:numPr>
          <w:ilvl w:val="0"/>
          <w:numId w:val="1011"/>
        </w:numPr>
        <w:pStyle w:val="Compact"/>
      </w:pPr>
      <w:r>
        <w:t xml:space="preserve">Disposed Content: 1.5 kg * 0.30 = 0.45 kg</w:t>
      </w:r>
    </w:p>
    <w:p>
      <w:pPr>
        <w:pStyle w:val="FirstParagraph"/>
      </w:pPr>
      <w:r>
        <w:t xml:space="preserve">For simplicity, assuming 50% of recyclable content is Aluminum (0.525 kg) and 50% is Plastic (0.525 kg).</w:t>
      </w:r>
    </w:p>
    <w:p>
      <w:pPr>
        <w:numPr>
          <w:ilvl w:val="0"/>
          <w:numId w:val="1012"/>
        </w:numPr>
        <w:pStyle w:val="Compact"/>
      </w:pPr>
      <w:r>
        <w:t xml:space="preserve">Avoided Emissions (Recycled Aluminum): 0.525 kg * -5.0 kg CO2e/kg = -2.625 kg CO2e</w:t>
      </w:r>
    </w:p>
    <w:p>
      <w:pPr>
        <w:numPr>
          <w:ilvl w:val="0"/>
          <w:numId w:val="1012"/>
        </w:numPr>
        <w:pStyle w:val="Compact"/>
      </w:pPr>
      <w:r>
        <w:t xml:space="preserve">Avoided Emissions (Recycled Plastic): 0.525 kg * -2.0 kg CO2e/kg = -1.05 kg CO2e</w:t>
      </w:r>
    </w:p>
    <w:p>
      <w:pPr>
        <w:numPr>
          <w:ilvl w:val="0"/>
          <w:numId w:val="1012"/>
        </w:numPr>
        <w:pStyle w:val="Compact"/>
      </w:pPr>
      <w:r>
        <w:t xml:space="preserve">Disposal Emissions (Landfill): 0.45 kg * 0.05 kg CO2e/kg = 0.0225 kg CO2e</w:t>
      </w:r>
    </w:p>
    <w:p>
      <w:pPr>
        <w:pStyle w:val="FirstParagraph"/>
      </w:pPr>
      <w:r>
        <w:rPr>
          <w:bCs/>
          <w:b/>
        </w:rPr>
        <w:t xml:space="preserve">Total End-of-Life Emissions/Credits:</w:t>
      </w:r>
      <w:r>
        <w:rPr>
          <w:bCs/>
          <w:b/>
        </w:rPr>
        <w:t xml:space="preserve"> </w:t>
      </w:r>
      <w:bookmarkStart w:id="47" w:name="eolEmissions"/>
      <w:r>
        <w:rPr>
          <w:bCs/>
          <w:b/>
        </w:rPr>
        <w:t xml:space="preserve">-3.65</w:t>
      </w:r>
      <w:bookmarkEnd w:id="47"/>
      <w:r>
        <w:rPr>
          <w:bCs/>
          <w:b/>
        </w:rPr>
        <w:t xml:space="preserve"> </w:t>
      </w:r>
      <w:r>
        <w:rPr>
          <w:bCs/>
          <w:b/>
        </w:rPr>
        <w:t xml:space="preserve">kg CO2e</w:t>
      </w:r>
      <w:r>
        <w:t xml:space="preserve"> </w:t>
      </w:r>
      <w:r>
        <w:t xml:space="preserve">(a net credit)</w:t>
      </w:r>
    </w:p>
    <w:bookmarkEnd w:id="48"/>
    <w:bookmarkEnd w:id="49"/>
    <w:bookmarkStart w:id="50" w:name="summary-of-product-carbon-footprint-pcf"/>
    <w:p>
      <w:pPr>
        <w:pStyle w:val="Heading2"/>
      </w:pPr>
      <w:r>
        <w:t xml:space="preserve">3.3. Summary of Product Carbon Footprint (PCF)</w:t>
      </w:r>
    </w:p>
    <w:p>
      <w:pPr>
        <w:pStyle w:val="FirstParagraph"/>
      </w:pPr>
      <w:r>
        <w:t xml:space="preserve">The total PCF for 1.0 unit of</w:t>
      </w:r>
      <w:r>
        <w:t xml:space="preserve"> </w:t>
      </w:r>
      <w:r>
        <w:rPr>
          <w:bCs/>
          <w:b/>
        </w:rPr>
        <w:t xml:space="preserve">oxtnkhmuti</w:t>
      </w:r>
      <w:r>
        <w:t xml:space="preserve"> </w:t>
      </w:r>
      <w:r>
        <w:t xml:space="preserve">is summarized below, categorized by GHG Protocol scopes.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6.57</w:t>
            </w:r>
          </w:p>
        </w:tc>
      </w:tr>
      <w:tr>
        <w:tc>
          <w:tcPr/>
          <w:p>
            <w:pPr>
              <w:pStyle w:val="Compact"/>
              <w:jc w:val="left"/>
            </w:pPr>
            <w:r>
              <w:t xml:space="preserve">Manufacturing Energy (Electricity)</w:t>
            </w:r>
          </w:p>
        </w:tc>
        <w:tc>
          <w:tcPr/>
          <w:p>
            <w:pPr>
              <w:pStyle w:val="Compact"/>
              <w:jc w:val="left"/>
            </w:pPr>
            <w:r>
              <w:t xml:space="preserve">Scope 2</w:t>
            </w:r>
          </w:p>
        </w:tc>
        <w:tc>
          <w:tcPr/>
          <w:p>
            <w:pPr>
              <w:pStyle w:val="Compact"/>
              <w:jc w:val="left"/>
            </w:pPr>
            <w:r>
              <w:t xml:space="preserve">0.65</w:t>
            </w:r>
          </w:p>
        </w:tc>
      </w:tr>
      <w:tr>
        <w:tc>
          <w:tcPr/>
          <w:p>
            <w:pPr>
              <w:pStyle w:val="Compact"/>
              <w:jc w:val="left"/>
            </w:pPr>
            <w:r>
              <w:t xml:space="preserve">Upstream Transport (Materials to Factory)</w:t>
            </w:r>
          </w:p>
        </w:tc>
        <w:tc>
          <w:tcPr/>
          <w:p>
            <w:pPr>
              <w:pStyle w:val="Compact"/>
              <w:jc w:val="left"/>
            </w:pPr>
            <w:r>
              <w:t xml:space="preserve">Scope 3 (Upstream)</w:t>
            </w:r>
          </w:p>
        </w:tc>
        <w:tc>
          <w:tcPr/>
          <w:p>
            <w:pPr>
              <w:pStyle w:val="Compact"/>
              <w:jc w:val="left"/>
            </w:pPr>
            <w:r>
              <w:t xml:space="preserve">0.24</w:t>
            </w:r>
          </w:p>
        </w:tc>
      </w:tr>
      <w:tr>
        <w:tc>
          <w:tcPr/>
          <w:p>
            <w:pPr>
              <w:pStyle w:val="Compact"/>
              <w:jc w:val="left"/>
            </w:pPr>
            <w:r>
              <w:t xml:space="preserve">Downstream Transport (Factory to Consumer)</w:t>
            </w:r>
          </w:p>
        </w:tc>
        <w:tc>
          <w:tcPr/>
          <w:p>
            <w:pPr>
              <w:pStyle w:val="Compact"/>
              <w:jc w:val="left"/>
            </w:pPr>
            <w:r>
              <w:t xml:space="preserve">Scope 3 (Downstream)</w:t>
            </w:r>
          </w:p>
        </w:tc>
        <w:tc>
          <w:tcPr/>
          <w:p>
            <w:pPr>
              <w:pStyle w:val="Compact"/>
              <w:jc w:val="left"/>
            </w:pPr>
            <w:r>
              <w:t xml:space="preserve">0.32</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7.50</w:t>
            </w:r>
          </w:p>
        </w:tc>
      </w:tr>
      <w:tr>
        <w:tc>
          <w:tcPr/>
          <w:p>
            <w:pPr>
              <w:pStyle w:val="Compact"/>
              <w:jc w:val="left"/>
            </w:pPr>
            <w:r>
              <w:t xml:space="preserve">End-of-Life (EoL)</w:t>
            </w:r>
          </w:p>
        </w:tc>
        <w:tc>
          <w:tcPr/>
          <w:p>
            <w:pPr>
              <w:pStyle w:val="Compact"/>
              <w:jc w:val="left"/>
            </w:pPr>
            <w:r>
              <w:t xml:space="preserve">Scope 3 (Downstream)</w:t>
            </w:r>
          </w:p>
        </w:tc>
        <w:tc>
          <w:tcPr/>
          <w:p>
            <w:pPr>
              <w:pStyle w:val="Compact"/>
              <w:jc w:val="left"/>
            </w:pPr>
            <w:r>
              <w:t xml:space="preserve">-3.65</w:t>
            </w:r>
          </w:p>
        </w:tc>
      </w:tr>
      <w:tr>
        <w:tc>
          <w:tcPr>
            <w:gridSpan w:val="2"/>
          </w:tcPr>
          <w:p>
            <w:pPr>
              <w:pStyle w:val="Compact"/>
              <w:jc w:val="right"/>
            </w:pPr>
            <w:r>
              <w:t xml:space="preserve">Total Product Carbon Footprint:</w:t>
            </w:r>
          </w:p>
        </w:tc>
        <w:tc>
          <w:tcPr/>
          <w:p>
            <w:pPr>
              <w:pStyle w:val="Compact"/>
              <w:jc w:val="left"/>
            </w:pPr>
          </w:p>
        </w:tc>
      </w:tr>
      <w:tr>
        <w:tc>
          <w:tcPr>
            <w:gridSpan w:val="2"/>
          </w:tcPr>
          <w:p>
            <w:pPr>
              <w:pStyle w:val="Compact"/>
              <w:jc w:val="right"/>
            </w:pPr>
            <w:r>
              <w:rPr>
                <w:bCs/>
                <w:b/>
              </w:rPr>
              <w:t xml:space="preserve">Total Scope 1 Emissions:</w:t>
            </w:r>
          </w:p>
        </w:tc>
        <w:tc>
          <w:tcPr/>
          <w:p>
            <w:pPr>
              <w:pStyle w:val="Compact"/>
              <w:jc w:val="left"/>
            </w:pPr>
            <w:r>
              <w:t xml:space="preserve">0.00 (assumed negligible/included in Scope 2)</w:t>
            </w:r>
          </w:p>
        </w:tc>
      </w:tr>
      <w:tr>
        <w:tc>
          <w:tcPr>
            <w:gridSpan w:val="2"/>
          </w:tcPr>
          <w:p>
            <w:pPr>
              <w:pStyle w:val="Compact"/>
              <w:jc w:val="right"/>
            </w:pPr>
            <w:r>
              <w:rPr>
                <w:bCs/>
                <w:b/>
              </w:rPr>
              <w:t xml:space="preserve">Total Scope 2 Emissions:</w:t>
            </w:r>
          </w:p>
        </w:tc>
        <w:tc>
          <w:tcPr/>
          <w:p>
            <w:pPr>
              <w:pStyle w:val="Compact"/>
              <w:jc w:val="left"/>
            </w:pPr>
            <w:r>
              <w:rPr>
                <w:bCs/>
                <w:b/>
              </w:rPr>
              <w:t xml:space="preserve">0.65</w:t>
            </w:r>
          </w:p>
        </w:tc>
      </w:tr>
      <w:tr>
        <w:tc>
          <w:tcPr>
            <w:gridSpan w:val="2"/>
          </w:tcPr>
          <w:p>
            <w:pPr>
              <w:pStyle w:val="Compact"/>
              <w:jc w:val="right"/>
            </w:pPr>
            <w:r>
              <w:rPr>
                <w:bCs/>
                <w:b/>
              </w:rPr>
              <w:t xml:space="preserve">Total Scope 3 Emissions:</w:t>
            </w:r>
          </w:p>
        </w:tc>
        <w:tc>
          <w:tcPr/>
          <w:p>
            <w:pPr>
              <w:pStyle w:val="Compact"/>
              <w:jc w:val="left"/>
            </w:pPr>
          </w:p>
        </w:tc>
      </w:tr>
    </w:tbl>
    <w:p>
      <w:r>
        <w:pict>
          <v:rect style="width:0;height:1.5pt" o:hralign="center" o:hrstd="t" o:hr="t"/>
        </w:pict>
      </w:r>
    </w:p>
    <w:bookmarkEnd w:id="50"/>
    <w:bookmarkEnd w:id="51"/>
    <w:bookmarkStart w:id="58" w:name="review-report"/>
    <w:p>
      <w:pPr>
        <w:pStyle w:val="Heading1"/>
      </w:pPr>
      <w:r>
        <w:t xml:space="preserve">4. Review &amp; Report</w:t>
      </w:r>
    </w:p>
    <w:bookmarkStart w:id="55" w:name="emission-hotspots"/>
    <w:p>
      <w:pPr>
        <w:pStyle w:val="Heading2"/>
      </w:pPr>
      <w:r>
        <w:t xml:space="preserve">4.1. Emission Hotspots</w:t>
      </w:r>
    </w:p>
    <w:p>
      <w:pPr>
        <w:pStyle w:val="FirstParagraph"/>
      </w:pPr>
      <w:r>
        <w:t xml:space="preserve">Based on the current analysis, the primary emission hotspots for</w:t>
      </w:r>
      <w:r>
        <w:t xml:space="preserve"> </w:t>
      </w:r>
      <w:r>
        <w:rPr>
          <w:bCs/>
          <w:b/>
        </w:rPr>
        <w:t xml:space="preserve">oxtnkhmuti</w:t>
      </w:r>
      <w:r>
        <w:t xml:space="preserve"> </w:t>
      </w:r>
      <w:r>
        <w:t xml:space="preserve">are:</w:t>
      </w:r>
    </w:p>
    <w:p>
      <w:pPr>
        <w:numPr>
          <w:ilvl w:val="0"/>
          <w:numId w:val="1013"/>
        </w:numPr>
        <w:pStyle w:val="Compact"/>
      </w:pPr>
      <w:r>
        <w:rPr>
          <w:bCs/>
          <w:b/>
        </w:rPr>
        <w:t xml:space="preserve">Use Phase:</w:t>
      </w:r>
      <w:r>
        <w:t xml:space="preserve"> </w:t>
      </w:r>
      <w:r>
        <w:t xml:space="preserve">With</w:t>
      </w:r>
      <w:r>
        <w:t xml:space="preserve"> </w:t>
      </w:r>
      <w:bookmarkStart w:id="52" w:name="usePhaseHotspot"/>
      <w:r>
        <w:t xml:space="preserve">7.50</w:t>
      </w:r>
      <w:bookmarkEnd w:id="52"/>
      <w:r>
        <w:t xml:space="preserve"> </w:t>
      </w:r>
      <w:r>
        <w:t xml:space="preserve">kg CO2e, the energy consumption during the product\'s lifespan is the largest contributor, highlighting the importance of energy-efficient design and user behavior.</w:t>
      </w:r>
    </w:p>
    <w:p>
      <w:pPr>
        <w:numPr>
          <w:ilvl w:val="0"/>
          <w:numId w:val="1013"/>
        </w:numPr>
        <w:pStyle w:val="Compact"/>
      </w:pPr>
      <w:r>
        <w:rPr>
          <w:bCs/>
          <w:b/>
        </w:rPr>
        <w:t xml:space="preserve">Raw Material Acquisition &amp; Pre-processing:</w:t>
      </w:r>
      <w:r>
        <w:t xml:space="preserve"> </w:t>
      </w:r>
      <w:r>
        <w:t xml:space="preserve">Materials account for</w:t>
      </w:r>
      <w:r>
        <w:t xml:space="preserve"> </w:t>
      </w:r>
      <w:bookmarkStart w:id="53" w:name="materialsHotspot"/>
      <w:r>
        <w:t xml:space="preserve">6.57</w:t>
      </w:r>
      <w:bookmarkEnd w:id="53"/>
      <w:r>
        <w:t xml:space="preserve"> </w:t>
      </w:r>
      <w:r>
        <w:t xml:space="preserve">kg CO2e, driven by components like aluminum and plastics, emphasizing the need for sustainable material sourcing and design for recyclability.</w:t>
      </w:r>
    </w:p>
    <w:p>
      <w:pPr>
        <w:numPr>
          <w:ilvl w:val="0"/>
          <w:numId w:val="1013"/>
        </w:numPr>
        <w:pStyle w:val="Compact"/>
      </w:pPr>
      <w:r>
        <w:rPr>
          <w:bCs/>
          <w:b/>
        </w:rPr>
        <w:t xml:space="preserve">Manufacturing Energy:</w:t>
      </w:r>
      <w:r>
        <w:t xml:space="preserve"> </w:t>
      </w:r>
      <w:r>
        <w:t xml:space="preserve">Emissions from purchased electricity for manufacturing are a notable contributor (</w:t>
      </w:r>
      <w:bookmarkStart w:id="54" w:name="manufacturingHotspot"/>
      <w:r>
        <w:t xml:space="preserve">0.65</w:t>
      </w:r>
      <w:bookmarkEnd w:id="54"/>
      <w:r>
        <w:t xml:space="preserve"> </w:t>
      </w:r>
      <w:r>
        <w:t xml:space="preserve">kg CO2e), indicating opportunities for increasing renewable energy procurement at the production facility.</w:t>
      </w:r>
    </w:p>
    <w:bookmarkEnd w:id="55"/>
    <w:bookmarkStart w:id="56" w:name="reliability-and-limitations"/>
    <w:p>
      <w:pPr>
        <w:pStyle w:val="Heading2"/>
      </w:pPr>
      <w:r>
        <w:t xml:space="preserve">4.2. Reliability and Limitations</w:t>
      </w:r>
    </w:p>
    <w:p>
      <w:pPr>
        <w:pStyle w:val="FirstParagraph"/>
      </w:pPr>
      <w:r>
        <w:t xml:space="preserve">This PCF report provides a robust estimation based on the GHG Protocol and available data. However, it is subject to the following limitations:</w:t>
      </w:r>
    </w:p>
    <w:p>
      <w:pPr>
        <w:numPr>
          <w:ilvl w:val="0"/>
          <w:numId w:val="1014"/>
        </w:numPr>
        <w:pStyle w:val="Compact"/>
      </w:pPr>
      <w:r>
        <w:rPr>
          <w:bCs/>
          <w:b/>
        </w:rPr>
        <w:t xml:space="preserve">Sample Data Usage:</w:t>
      </w:r>
      <w:r>
        <w:t xml:space="preserve"> </w:t>
      </w:r>
      <w:r>
        <w:t xml:space="preserve">Many specific parameters (BOM details, transport distances, energy data, EoL scenarios) were provided as placeholder strings. The calculations rely on illustrative sample values and generic emission factors, which may not perfectly reflect real-world conditions.</w:t>
      </w:r>
    </w:p>
    <w:p>
      <w:pPr>
        <w:numPr>
          <w:ilvl w:val="0"/>
          <w:numId w:val="1014"/>
        </w:numPr>
        <w:pStyle w:val="Compact"/>
      </w:pPr>
      <w:r>
        <w:rPr>
          <w:bCs/>
          <w:b/>
        </w:rPr>
        <w:t xml:space="preserve">Emission Factor Specificity:</w:t>
      </w:r>
      <w:r>
        <w:t xml:space="preserve"> </w:t>
      </w:r>
      <w:r>
        <w:t xml:space="preserve">Generic industry-average emission factors (e.g., from Ecoinvent/DEFRA equivalents) were used. Higher accuracy would require specific, primary emission factors for each material, energy source, and transport route.</w:t>
      </w:r>
    </w:p>
    <w:p>
      <w:pPr>
        <w:numPr>
          <w:ilvl w:val="0"/>
          <w:numId w:val="1014"/>
        </w:numPr>
        <w:pStyle w:val="Compact"/>
      </w:pPr>
      <w:r>
        <w:rPr>
          <w:bCs/>
          <w:b/>
        </w:rPr>
        <w:t xml:space="preserve">Scope 1 Detail:</w:t>
      </w:r>
      <w:r>
        <w:t xml:space="preserve"> </w:t>
      </w:r>
      <w:r>
        <w:t xml:space="preserve">Direct (Scope 1) emissions from manufacturing were assumed negligible or covered by broader electricity factors due to lack of specific fuel consumption data for on-site operations.</w:t>
      </w:r>
    </w:p>
    <w:p>
      <w:pPr>
        <w:numPr>
          <w:ilvl w:val="0"/>
          <w:numId w:val="1014"/>
        </w:numPr>
        <w:pStyle w:val="Compact"/>
      </w:pPr>
      <w:r>
        <w:rPr>
          <w:bCs/>
          <w:b/>
        </w:rPr>
        <w:t xml:space="preserve">System Boundary Extension:</w:t>
      </w:r>
      <w:r>
        <w:t xml:space="preserve"> </w:t>
      </w:r>
      <w:r>
        <w:t xml:space="preserve">The `factory_gate` parameter was extended to cradle-to-grave to meet other explicit requirements. A pure `factory_gate` report would omit use and EoL phases.</w:t>
      </w:r>
    </w:p>
    <w:p>
      <w:pPr>
        <w:numPr>
          <w:ilvl w:val="0"/>
          <w:numId w:val="1014"/>
        </w:numPr>
        <w:pStyle w:val="Compact"/>
      </w:pPr>
      <w:r>
        <w:rPr>
          <w:bCs/>
          <w:b/>
        </w:rPr>
        <w:t xml:space="preserve">LSR Standard:</w:t>
      </w:r>
      <w:r>
        <w:t xml:space="preserve"> </w:t>
      </w:r>
      <w:r>
        <w:t xml:space="preserve">While the 2026 LSR Standard is mentioned, specific land use change data was not provided, so its application is conceptual in this report.</w:t>
      </w:r>
    </w:p>
    <w:p>
      <w:pPr>
        <w:numPr>
          <w:ilvl w:val="0"/>
          <w:numId w:val="1014"/>
        </w:numPr>
        <w:pStyle w:val="Compact"/>
      </w:pPr>
      <w:r>
        <w:rPr>
          <w:bCs/>
          <w:b/>
        </w:rPr>
        <w:t xml:space="preserve">Scope 3 Coverage Assumption:</w:t>
      </w:r>
      <w:r>
        <w:t xml:space="preserve"> </w:t>
      </w:r>
      <w:r>
        <w:t xml:space="preserve">The report assumes that the major Scope 3 categories are covered; however, a full 95% coverage would require a more exhaustive data collection effort across all upstream and downstream activities.</w:t>
      </w:r>
    </w:p>
    <w:bookmarkEnd w:id="56"/>
    <w:bookmarkStart w:id="57" w:name="recommendations-for-future-action"/>
    <w:p>
      <w:pPr>
        <w:pStyle w:val="Heading2"/>
      </w:pPr>
      <w:r>
        <w:t xml:space="preserve">4.3. Recommendations for Future Action</w:t>
      </w:r>
    </w:p>
    <w:p>
      <w:pPr>
        <w:numPr>
          <w:ilvl w:val="0"/>
          <w:numId w:val="1015"/>
        </w:numPr>
        <w:pStyle w:val="Compact"/>
      </w:pPr>
      <w:r>
        <w:rPr>
          <w:bCs/>
          <w:b/>
        </w:rPr>
        <w:t xml:space="preserve">Enhance Energy Efficiency in Use:</w:t>
      </w:r>
      <w:r>
        <w:t xml:space="preserve"> </w:t>
      </w:r>
      <w:r>
        <w:t xml:space="preserve">Focus on product design innovations to reduce energy consumption during the use phase (e.g., lower power modes, more efficient components).</w:t>
      </w:r>
    </w:p>
    <w:p>
      <w:pPr>
        <w:numPr>
          <w:ilvl w:val="0"/>
          <w:numId w:val="1015"/>
        </w:numPr>
        <w:pStyle w:val="Compact"/>
      </w:pPr>
      <w:r>
        <w:rPr>
          <w:bCs/>
          <w:b/>
        </w:rPr>
        <w:t xml:space="preserve">Sustainable Material Sourcing:</w:t>
      </w:r>
      <w:r>
        <w:t xml:space="preserve"> </w:t>
      </w:r>
      <w:r>
        <w:t xml:space="preserve">Explore sourcing lower-carbon alternative materials, increasing recycled content, and working with suppliers to reduce upstream material impacts.</w:t>
      </w:r>
    </w:p>
    <w:p>
      <w:pPr>
        <w:numPr>
          <w:ilvl w:val="0"/>
          <w:numId w:val="1015"/>
        </w:numPr>
        <w:pStyle w:val="Compact"/>
      </w:pPr>
      <w:r>
        <w:rPr>
          <w:bCs/>
          <w:b/>
        </w:rPr>
        <w:t xml:space="preserve">Increase Renewable Energy Adoption:</w:t>
      </w:r>
      <w:r>
        <w:t xml:space="preserve"> </w:t>
      </w:r>
      <w:r>
        <w:t xml:space="preserve">Invest in or procure 100% renewable energy for manufacturing operations in China to significantly reduce Scope 2 emissions.</w:t>
      </w:r>
    </w:p>
    <w:p>
      <w:pPr>
        <w:numPr>
          <w:ilvl w:val="0"/>
          <w:numId w:val="1015"/>
        </w:numPr>
        <w:pStyle w:val="Compact"/>
      </w:pPr>
      <w:r>
        <w:rPr>
          <w:bCs/>
          <w:b/>
        </w:rPr>
        <w:t xml:space="preserve">Optimize Logistics:</w:t>
      </w:r>
      <w:r>
        <w:t xml:space="preserve"> </w:t>
      </w:r>
      <w:r>
        <w:t xml:space="preserve">Evaluate opportunities to optimize transport routes, modes, and load factors to reduce emissions from both upstream and downstream logistics.</w:t>
      </w:r>
    </w:p>
    <w:p>
      <w:pPr>
        <w:numPr>
          <w:ilvl w:val="0"/>
          <w:numId w:val="1015"/>
        </w:numPr>
        <w:pStyle w:val="Compact"/>
      </w:pPr>
      <w:r>
        <w:rPr>
          <w:bCs/>
          <w:b/>
        </w:rPr>
        <w:t xml:space="preserve">Strengthen Circular Economy Initiatives:</w:t>
      </w:r>
      <w:r>
        <w:t xml:space="preserve"> </w:t>
      </w:r>
      <w:r>
        <w:t xml:space="preserve">Expand take-back and recycling programs, and design products for easier disassembly, repairability, and higher recyclability rates.</w:t>
      </w:r>
    </w:p>
    <w:p>
      <w:pPr>
        <w:numPr>
          <w:ilvl w:val="0"/>
          <w:numId w:val="1015"/>
        </w:numPr>
        <w:pStyle w:val="Compact"/>
      </w:pPr>
      <w:r>
        <w:rPr>
          <w:bCs/>
          <w:b/>
        </w:rPr>
        <w:t xml:space="preserve">Primary Data Collection:</w:t>
      </w:r>
      <w:r>
        <w:t xml:space="preserve"> </w:t>
      </w:r>
      <w:r>
        <w:t xml:space="preserve">For a more precise and actionable PCF, prioritize the collection of primary data for BOM specifics, actual transport routes and modes, and site-specific energy consumption and mix.</w:t>
      </w:r>
    </w:p>
    <w:p>
      <w:r>
        <w:pict>
          <v:rect style="width:0;height:1.5pt" o:hralign="center" o:hrstd="t" o:hr="t"/>
        </w:pict>
      </w:r>
    </w:p>
    <w:p>
      <w:pPr>
        <w:pStyle w:val="FirstParagraph"/>
      </w:pPr>
      <w:r>
        <w:t xml:space="preserve">Confidential - Internal Use Only | Page</w:t>
      </w:r>
      <w:r>
        <w:t xml:space="preserve"> </w:t>
      </w:r>
    </w:p>
    <w:bookmarkEnd w:id="57"/>
    <w:bookmarkEnd w:id="5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oxtnkhmuti</dc:title>
  <dc:creator/>
  <dc:description>Detailed Product Carbon Footprint (PCF) analysis report for oxtnkhmuti by lmnljjpwdg, conducted by Senior Sustainability Consultant orjtkxtzhf, adhering to GHG Protocol and 2026 LSR Update requirements.</dc:description>
  <dc:language>en</dc:language>
  <cp:keywords/>
  <dcterms:created xsi:type="dcterms:W3CDTF">2026-07-15T14:23:44Z</dcterms:created>
  <dcterms:modified xsi:type="dcterms:W3CDTF">2026-07-15T14:23:44Z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