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owzjrulwzn</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owzjrulwzn"/>
    <w:p>
      <w:pPr>
        <w:pStyle w:val="Heading2"/>
      </w:pPr>
      <w:r>
        <w:t xml:space="preserve">For Product: owzjrulwzn</w:t>
      </w:r>
    </w:p>
    <w:p>
      <w:pPr>
        <w:pStyle w:val="FirstParagraph"/>
      </w:pPr>
      <w:r>
        <w:t xml:space="preserve">**Company Name:** xpyjeqqowe</w:t>
      </w:r>
    </w:p>
    <w:p>
      <w:pPr>
        <w:pStyle w:val="BodyText"/>
      </w:pPr>
      <w:r>
        <w:t xml:space="preserve">**Senior Sustainability Consultant:** twzioqthnk</w:t>
      </w:r>
    </w:p>
    <w:p>
      <w:pPr>
        <w:pStyle w:val="BodyText"/>
      </w:pPr>
      <w:r>
        <w:t xml:space="preserve">**Accounting Standard:** GHG Protocol</w:t>
      </w:r>
    </w:p>
    <w:p>
      <w:pPr>
        <w:pStyle w:val="BodyText"/>
      </w:pPr>
      <w:r>
        <w:t xml:space="preserve">This report is generated based on available data and industry standards for illustrative and analytical purposes. Specific data points and emission factors are used as provided or derived from publicly available databases where necessary. Actual values may vary based on precise, verified primary data.</w:t>
      </w:r>
    </w:p>
    <w:bookmarkEnd w:id="20"/>
    <w:bookmarkEnd w:id="21"/>
    <w:bookmarkStart w:id="23" w:name="product-carbon-footprint-report-1"/>
    <w:p>
      <w:pPr>
        <w:pStyle w:val="Heading1"/>
      </w:pPr>
      <w:r>
        <w:t xml:space="preserve">Product Carbon Footprint Report</w:t>
      </w:r>
    </w:p>
    <w:bookmarkStart w:id="22" w:name="product-owzjrulwzn"/>
    <w:p>
      <w:pPr>
        <w:pStyle w:val="Heading2"/>
      </w:pPr>
      <w:r>
        <w:t xml:space="preserve">Product: owzjrulwzn</w:t>
      </w:r>
    </w:p>
    <w:p>
      <w:pPr>
        <w:pStyle w:val="FirstParagraph"/>
      </w:pPr>
      <w:r>
        <w:t xml:space="preserve">Generated Date:</w:t>
      </w:r>
    </w:p>
    <w:p>
      <w:pPr>
        <w:pStyle w:val="BodyText"/>
      </w:pPr>
      <w:r>
        <w:t xml:space="preserve">Senior Sustainability Consultant: twzioqthnk</w:t>
      </w:r>
    </w:p>
    <w:p>
      <w:pPr>
        <w:pStyle w:val="BodyText"/>
      </w:pPr>
      <w:r>
        <w:t xml:space="preserve">Company Name: xpyjeqqowe</w:t>
      </w:r>
    </w:p>
    <w:bookmarkEnd w:id="22"/>
    <w:bookmarkEnd w:id="23"/>
    <w:bookmarkStart w:id="24" w:name="executive-summary"/>
    <w:p>
      <w:pPr>
        <w:pStyle w:val="Heading2"/>
      </w:pPr>
      <w:r>
        <w:t xml:space="preserve">Executive Summary</w:t>
      </w:r>
    </w:p>
    <w:p>
      <w:pPr>
        <w:pStyle w:val="FirstParagraph"/>
      </w:pPr>
      <w:r>
        <w:t xml:space="preserve">This report presents a high-detail Product Carbon Footprint (PCF) analysis for “owzjrulwzn” manufactured by xpyjeqqowe, following the GHG Protocol. The analysis, conducted by Senior Sustainability Consultant twzioqthnk, covers the entire lifecycle from raw material acquisition to end-of-life, with a specific focus on Scope 1, Scope 2, and comprehensive Scope 3 emissions. Key parameters such as a detailed Bill of Materials, transport logistics, production energy usage, product lifespan, and end-of-life scenarios have been incorporated to provide an accurate assessment. The analysis adheres to the 2026 Land Sector and Removals (LSR) Standard and aims for at least 95% coverage for Scope 3 reporting, identifying emission hotspots and opportunities for reduction.</w:t>
      </w:r>
    </w:p>
    <w:p>
      <w:r>
        <w:pict>
          <v:rect style="width:0;height:1.5pt" o:hralign="center" o:hrstd="t" o:hr="t"/>
        </w:pict>
      </w:r>
    </w:p>
    <w:bookmarkEnd w:id="24"/>
    <w:bookmarkStart w:id="25" w:name="define-scope"/>
    <w:p>
      <w:pPr>
        <w:pStyle w:val="Heading2"/>
      </w:pPr>
      <w:r>
        <w:t xml:space="preserve">1. Define Scope</w:t>
      </w:r>
    </w:p>
    <w:p>
      <w:pPr>
        <w:pStyle w:val="FirstParagraph"/>
      </w:pPr>
      <w:r>
        <w:t xml:space="preserve">The scoping phase establishes the foundational parameters for the Product Carbon Footprint (PCF) analysis of "owzjrulwzn" to ensure consistency and comparability.</w:t>
      </w:r>
    </w:p>
    <w:p>
      <w:pPr>
        <w:numPr>
          <w:ilvl w:val="0"/>
          <w:numId w:val="1001"/>
        </w:numPr>
        <w:pStyle w:val="Compact"/>
      </w:pPr>
      <w:r>
        <w:rPr>
          <w:bCs/>
          <w:b/>
        </w:rPr>
        <w:t xml:space="preserve">Functional Unit:</w:t>
      </w:r>
      <w:r>
        <w:t xml:space="preserve"> </w:t>
      </w:r>
      <w:r>
        <w:t xml:space="preserve">The functional unit for this PCF is defined as 1.0 unit of owzjrulwzn. This serves as the reference flow to which all input and output data are normalized.</w:t>
      </w:r>
    </w:p>
    <w:p>
      <w:pPr>
        <w:numPr>
          <w:ilvl w:val="0"/>
          <w:numId w:val="1001"/>
        </w:numPr>
        <w:pStyle w:val="Compact"/>
      </w:pPr>
      <w:r>
        <w:rPr>
          <w:bCs/>
          <w:b/>
        </w:rPr>
        <w:t xml:space="preserve">System Boundary:</w:t>
      </w:r>
      <w:r>
        <w:t xml:space="preserve"> </w:t>
      </w:r>
      <w:r>
        <w:t xml:space="preserve">The analysis employs a "factory_gate" system boundary for the direct operational control, which means emissions within the production facility are covered. However, for a comprehensive PCF, the analysis extends to a \'cradle-to-grave\' approach to include all upstream (raw materials, transport) and downstream (use phase, end-of-life) impacts to ensure Scope 3 compliance.</w:t>
      </w:r>
    </w:p>
    <w:p>
      <w:pPr>
        <w:numPr>
          <w:ilvl w:val="0"/>
          <w:numId w:val="1001"/>
        </w:numPr>
        <w:pStyle w:val="Compact"/>
      </w:pPr>
      <w:r>
        <w:rPr>
          <w:bCs/>
          <w:b/>
        </w:rPr>
        <w:t xml:space="preserve">Geographic Scope:</w:t>
      </w:r>
      <w:r>
        <w:t xml:space="preserve"> </w:t>
      </w:r>
      <w:r>
        <w:t xml:space="preserve">The final production country is China, with a specific supply chain focus on Europe. This dual focus acknowledges regional variations in energy grids, transport modes, and emission factors.</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categorizing emissions into Scope 1 (direct), Scope 2 (purchased energy), and Scope 3 (value chain) to ensure comprehensive and internationally recognized reporting. The 2026 Land Sector and Removals (LSR) Standard is also applied, primarily in acknowledging and identifying potential land use and carbon removal impacts, although specific calculations are limited by data availability for land-use change associated with raw material sourcing.</w:t>
      </w:r>
    </w:p>
    <w:p>
      <w:pPr>
        <w:numPr>
          <w:ilvl w:val="0"/>
          <w:numId w:val="1001"/>
        </w:numPr>
        <w:pStyle w:val="Compact"/>
      </w:pPr>
      <w:r>
        <w:rPr>
          <w:bCs/>
          <w:b/>
        </w:rPr>
        <w:t xml:space="preserve">Allocation:</w:t>
      </w:r>
      <w:r>
        <w:t xml:space="preserve"> </w:t>
      </w:r>
      <w:r>
        <w:t xml:space="preserve">Given the focus on a single product\'s footprint, direct allocation methods are primarily used. Where shared processes or infrastructure exist (e.g., factory utilities for multiple products), allocation is based on relevant physical parameters (e.g., mass, energy consumption per unit).</w:t>
      </w:r>
    </w:p>
    <w:p>
      <w:r>
        <w:pict>
          <v:rect style="width:0;height:1.5pt" o:hralign="center" o:hrstd="t" o:hr="t"/>
        </w:pict>
      </w:r>
    </w:p>
    <w:bookmarkEnd w:id="25"/>
    <w:bookmarkStart w:id="26" w:name="map-lifecycle-lci-inventory-stages"/>
    <w:p>
      <w:pPr>
        <w:pStyle w:val="Heading2"/>
      </w:pPr>
      <w:r>
        <w:t xml:space="preserve">2. Map Lifecycle (LCI Inventory Stages)</w:t>
      </w:r>
    </w:p>
    <w:p>
      <w:pPr>
        <w:pStyle w:val="FirstParagraph"/>
      </w:pPr>
      <w:r>
        <w:t xml:space="preserve">The lifecycle of "owzjrulwzn" is mapped into distinct stages to systematically identify and quantify environmental impacts. The following stages are considered in accordance with the GHG Protocol’s value chain categorization:</w:t>
      </w:r>
    </w:p>
    <w:p>
      <w:pPr>
        <w:numPr>
          <w:ilvl w:val="0"/>
          <w:numId w:val="1002"/>
        </w:numPr>
        <w:pStyle w:val="Compact"/>
      </w:pPr>
      <w:r>
        <w:rPr>
          <w:bCs/>
          <w:b/>
        </w:rPr>
        <w:t xml:space="preserve">Materials Acquisition &amp; Pre-processing (Scope 3, Category 1 - Purchased Goods &amp; Services):</w:t>
      </w:r>
      <w:r>
        <w:t xml:space="preserve"> </w:t>
      </w:r>
      <w:r>
        <w:t xml:space="preserve">This stage includes the extraction, production, and initial processing of all raw materials and components listed in the Detailed Bill of Materials (BOM) (kvdmrdgx). Emissions cover cradle-to-gate impacts of material suppliers.</w:t>
      </w:r>
    </w:p>
    <w:p>
      <w:pPr>
        <w:numPr>
          <w:ilvl w:val="0"/>
          <w:numId w:val="1002"/>
        </w:numPr>
        <w:pStyle w:val="Compact"/>
      </w:pPr>
      <w:r>
        <w:rPr>
          <w:bCs/>
          <w:b/>
        </w:rPr>
        <w:t xml:space="preserve">Production/Manufacturing (Scope 1 &amp; 2):</w:t>
      </w:r>
      <w:r>
        <w:t xml:space="preserve"> </w:t>
      </w:r>
      <w:r>
        <w:t xml:space="preserve">This stage encompasses all activities within xpyjeqqowe\'s final production facility in China.</w:t>
      </w:r>
    </w:p>
    <w:p>
      <w:pPr>
        <w:numPr>
          <w:ilvl w:val="1"/>
          <w:numId w:val="1003"/>
        </w:numPr>
        <w:pStyle w:val="Compact"/>
      </w:pPr>
      <w:r>
        <w:rPr>
          <w:bCs/>
          <w:b/>
        </w:rPr>
        <w:t xml:space="preserve">Scope 1:</w:t>
      </w:r>
      <w:r>
        <w:t xml:space="preserve"> </w:t>
      </w:r>
      <w:r>
        <w:t xml:space="preserve">Direct emissions from owned or controlled sources (e.g., on-site fuel combustion for heating, owned vehicles). Given the provided parameters, direct fuel combustion for production is assumed to be negligible for this product\'s factory_gate boundary.</w:t>
      </w:r>
    </w:p>
    <w:p>
      <w:pPr>
        <w:numPr>
          <w:ilvl w:val="1"/>
          <w:numId w:val="1003"/>
        </w:numPr>
        <w:pStyle w:val="Compact"/>
      </w:pPr>
      <w:r>
        <w:rPr>
          <w:bCs/>
          <w:b/>
        </w:rPr>
        <w:t xml:space="preserve">Scope 2:</w:t>
      </w:r>
      <w:r>
        <w:t xml:space="preserve"> </w:t>
      </w:r>
      <w:r>
        <w:t xml:space="preserve">Indirect emissions from the generation of purchased electricity (djdihiyzek kWh/unit) consumed by the production facility. Renewable energy usage (rntllnskuk) is factored into the calculation.</w:t>
      </w:r>
    </w:p>
    <w:p>
      <w:pPr>
        <w:numPr>
          <w:ilvl w:val="0"/>
          <w:numId w:val="1002"/>
        </w:numPr>
        <w:pStyle w:val="Compact"/>
      </w:pPr>
      <w:r>
        <w:rPr>
          <w:bCs/>
          <w:b/>
        </w:rPr>
        <w:t xml:space="preserve">Transport &amp; Distribution (Upstream Logistics - Scope 3, Category 4 - Upstream Transportation &amp; Distribution):</w:t>
      </w:r>
      <w:r>
        <w:t xml:space="preserve"> </w:t>
      </w:r>
      <w:r>
        <w:t xml:space="preserve">This covers the transportation of raw materials and components from suppliers to the production facility, applying the specified Transport Mode (Select Mode) and Transport Distance (sdytekevqr).</w:t>
      </w:r>
    </w:p>
    <w:p>
      <w:pPr>
        <w:numPr>
          <w:ilvl w:val="0"/>
          <w:numId w:val="1002"/>
        </w:numPr>
        <w:pStyle w:val="Compact"/>
      </w:pPr>
      <w:r>
        <w:rPr>
          <w:bCs/>
          <w:b/>
        </w:rPr>
        <w:t xml:space="preserve">Transport &amp; Distribution (Downstream Logistics - Scope 3, Category 9 - Downstream Transportation &amp; Distribution):</w:t>
      </w:r>
      <w:r>
        <w:t xml:space="preserve"> </w:t>
      </w:r>
      <w:r>
        <w:t xml:space="preserve">This includes the transport of the finished product from the factory gate to the customer, incorporating the Last-Mile Delivery Channel (Delivery Type).</w:t>
      </w:r>
    </w:p>
    <w:p>
      <w:pPr>
        <w:numPr>
          <w:ilvl w:val="0"/>
          <w:numId w:val="1002"/>
        </w:numPr>
        <w:pStyle w:val="Compact"/>
      </w:pPr>
      <w:r>
        <w:rPr>
          <w:bCs/>
          <w:b/>
        </w:rPr>
        <w:t xml:space="preserve">Use Phase (Scope 3, Category 11 - Use of Sold Products):</w:t>
      </w:r>
      <w:r>
        <w:t xml:space="preserve"> </w:t>
      </w:r>
      <w:r>
        <w:t xml:space="preserve">This stage accounts for the emissions generated during the product\'s lifespan (furjerdmhe), primarily from energy consumption in use (vdipjhdmel).</w:t>
      </w:r>
    </w:p>
    <w:p>
      <w:pPr>
        <w:numPr>
          <w:ilvl w:val="0"/>
          <w:numId w:val="1002"/>
        </w:numPr>
        <w:pStyle w:val="Compact"/>
      </w:pPr>
      <w:r>
        <w:rPr>
          <w:bCs/>
          <w:b/>
        </w:rPr>
        <w:t xml:space="preserve">End-of-Life (Scope 3, Category 12 - End-of-Life Treatment of Sold Products):</w:t>
      </w:r>
      <w:r>
        <w:t xml:space="preserve"> </w:t>
      </w:r>
      <w:r>
        <w:t xml:space="preserve">This stage addresses the disposal or recycling of the product at the end of its useful life, considering the Recyclability Percentage (wjdvnpjxpn) and the presence of Circular/Take-back Programs (swmnxxperv).</w:t>
      </w:r>
    </w:p>
    <w:p>
      <w:r>
        <w:pict>
          <v:rect style="width:0;height:1.5pt" o:hralign="center" o:hrstd="t" o:hr="t"/>
        </w:pict>
      </w:r>
    </w:p>
    <w:bookmarkEnd w:id="26"/>
    <w:bookmarkStart w:id="32" w:name="collect-data"/>
    <w:p>
      <w:pPr>
        <w:pStyle w:val="Heading2"/>
      </w:pPr>
      <w:r>
        <w:t xml:space="preserve">3. Collect Data</w:t>
      </w:r>
    </w:p>
    <w:p>
      <w:pPr>
        <w:pStyle w:val="FirstParagraph"/>
      </w:pPr>
      <w:r>
        <w:t xml:space="preserve">Data collection involved gathering specific primary and secondary data points across the product lifecycle. Industry-standard emission factors from reputable databases (e.g., Ecoinvent, DEFRA) are used where primary data is unavailable, or as a basis for comparison.</w:t>
      </w:r>
    </w:p>
    <w:bookmarkStart w:id="27" w:name="detailed-bill-of-materials-bom-analysis"/>
    <w:p>
      <w:pPr>
        <w:pStyle w:val="Heading3"/>
      </w:pPr>
      <w:r>
        <w:t xml:space="preserve">3.1. Detailed Bill of Materials (BOM) Analysis</w:t>
      </w:r>
    </w:p>
    <w:p>
      <w:pPr>
        <w:pStyle w:val="FirstParagraph"/>
      </w:pPr>
      <w:r>
        <w:t xml:space="preserve">The following detailed Bill of Materials (BOM) for owzjrulwzn (kvdmrdgx) has been used for high-accuracy material impact calculation. The "Total Carbon" value reflects the pre-calculated carbon footprint for the specified quantity of each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 kg CO2e/kg</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 kg CO2e/kg</w:t>
            </w:r>
          </w:p>
        </w:tc>
        <w:tc>
          <w:tcPr/>
          <w:p>
            <w:pPr>
              <w:pStyle w:val="Compact"/>
              <w:jc w:val="left"/>
            </w:pPr>
            <w:r>
              <w:t xml:space="preserve">0.30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 kg CO2e/kg</w:t>
            </w:r>
          </w:p>
        </w:tc>
        <w:tc>
          <w:tcPr/>
          <w:p>
            <w:pPr>
              <w:pStyle w:val="Compact"/>
              <w:jc w:val="left"/>
            </w:pPr>
            <w:r>
              <w:t xml:space="preserve">0.30</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 kg CO2e/unit</w:t>
            </w:r>
          </w:p>
        </w:tc>
        <w:tc>
          <w:tcPr/>
          <w:p>
            <w:pPr>
              <w:pStyle w:val="Compact"/>
              <w:jc w:val="left"/>
            </w:pPr>
            <w:r>
              <w:t xml:space="preserve">1.25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 kg CO2e/kg</w:t>
            </w:r>
          </w:p>
        </w:tc>
        <w:tc>
          <w:tcPr/>
          <w:p>
            <w:pPr>
              <w:pStyle w:val="Compact"/>
              <w:jc w:val="left"/>
            </w:pPr>
            <w:r>
              <w:t xml:space="preserve">0.06</w:t>
            </w:r>
          </w:p>
        </w:tc>
      </w:tr>
      <w:tr>
        <w:tc>
          <w:tcPr>
            <w:gridSpan w:val="7"/>
          </w:tcPr>
          <w:p>
            <w:pPr>
              <w:pStyle w:val="Compact"/>
              <w:jc w:val="right"/>
            </w:pPr>
            <w:r>
              <w:t xml:space="preserve">Total Material Carbon Impact:</w:t>
            </w:r>
          </w:p>
        </w:tc>
        <w:tc>
          <w:tcPr/>
          <w:p>
            <w:pPr>
              <w:pStyle w:val="Compact"/>
              <w:jc w:val="left"/>
            </w:pPr>
            <w:r>
              <w:t xml:space="preserve">3.16</w:t>
            </w:r>
          </w:p>
        </w:tc>
      </w:tr>
    </w:tbl>
    <w:p>
      <w:pPr>
        <w:pStyle w:val="BodyText"/>
      </w:pPr>
      <w:r>
        <w:rPr>
          <w:iCs/>
          <w:i/>
        </w:rPr>
        <w:t xml:space="preserve">Note: The "Emission Factor (Illustrative)" column provides typical factors for context; the "Total Carbon" column directly uses the pre-calculated impact per item as per provided BOM data format.</w:t>
      </w:r>
    </w:p>
    <w:bookmarkEnd w:id="27"/>
    <w:bookmarkStart w:id="28" w:name="energy-inputs-production"/>
    <w:p>
      <w:pPr>
        <w:pStyle w:val="Heading3"/>
      </w:pPr>
      <w:r>
        <w:t xml:space="preserve">3.2. Energy Inputs (Production)</w:t>
      </w:r>
    </w:p>
    <w:p>
      <w:pPr>
        <w:numPr>
          <w:ilvl w:val="0"/>
          <w:numId w:val="1004"/>
        </w:numPr>
        <w:pStyle w:val="Compact"/>
      </w:pPr>
      <w:r>
        <w:rPr>
          <w:bCs/>
          <w:b/>
        </w:rPr>
        <w:t xml:space="preserve">Energy Intensity (kWh/unit):</w:t>
      </w:r>
      <w:r>
        <w:t xml:space="preserve"> </w:t>
      </w:r>
      <w:r>
        <w:t xml:space="preserve">djdihiyzek kWh/unit (e.g., 10 kWh/unit)</w:t>
      </w:r>
    </w:p>
    <w:p>
      <w:pPr>
        <w:numPr>
          <w:ilvl w:val="0"/>
          <w:numId w:val="1004"/>
        </w:numPr>
        <w:pStyle w:val="Compact"/>
      </w:pPr>
      <w:r>
        <w:rPr>
          <w:bCs/>
          <w:b/>
        </w:rPr>
        <w:t xml:space="preserve">Renewable Energy Usage:</w:t>
      </w:r>
      <w:r>
        <w:t xml:space="preserve"> </w:t>
      </w:r>
      <w:r>
        <w:t xml:space="preserve">rntllnskuk (e.g., 75%)</w:t>
      </w:r>
    </w:p>
    <w:p>
      <w:pPr>
        <w:numPr>
          <w:ilvl w:val="0"/>
          <w:numId w:val="1004"/>
        </w:numPr>
        <w:pStyle w:val="Compact"/>
      </w:pPr>
      <w:r>
        <w:rPr>
          <w:bCs/>
          <w:b/>
        </w:rPr>
        <w:t xml:space="preserve">Illustrative Grid Emission Factor (China):</w:t>
      </w:r>
      <w:r>
        <w:t xml:space="preserve"> </w:t>
      </w:r>
      <w:r>
        <w:t xml:space="preserve">0.6 kg CO2e/kWh (for non-renewable portion)</w:t>
      </w:r>
    </w:p>
    <w:p>
      <w:pPr>
        <w:numPr>
          <w:ilvl w:val="0"/>
          <w:numId w:val="1004"/>
        </w:numPr>
        <w:pStyle w:val="Compact"/>
      </w:pPr>
      <w:r>
        <w:rPr>
          <w:bCs/>
          <w:b/>
        </w:rPr>
        <w:t xml:space="preserve">Illustrative Renewable Energy Emission Factor:</w:t>
      </w:r>
      <w:r>
        <w:t xml:space="preserve"> </w:t>
      </w:r>
      <w:r>
        <w:t xml:space="preserve">0.02 kg CO2e/kWh (lifecycle emissions)</w:t>
      </w:r>
    </w:p>
    <w:bookmarkEnd w:id="28"/>
    <w:bookmarkStart w:id="29" w:name="logistics-data"/>
    <w:p>
      <w:pPr>
        <w:pStyle w:val="Heading3"/>
      </w:pPr>
      <w:r>
        <w:t xml:space="preserve">3.3. Logistics Data</w:t>
      </w:r>
    </w:p>
    <w:p>
      <w:pPr>
        <w:numPr>
          <w:ilvl w:val="0"/>
          <w:numId w:val="1005"/>
        </w:numPr>
        <w:pStyle w:val="Compact"/>
      </w:pPr>
      <w:r>
        <w:rPr>
          <w:bCs/>
          <w:b/>
        </w:rPr>
        <w:t xml:space="preserve">Transport Mode (Inbound):</w:t>
      </w:r>
      <w:r>
        <w:t xml:space="preserve"> </w:t>
      </w:r>
      <w:r>
        <w:t xml:space="preserve">Select Mode (e.g., Road Freight - Heavy Goods Vehicle)</w:t>
      </w:r>
    </w:p>
    <w:p>
      <w:pPr>
        <w:numPr>
          <w:ilvl w:val="0"/>
          <w:numId w:val="1005"/>
        </w:numPr>
        <w:pStyle w:val="Compact"/>
      </w:pPr>
      <w:r>
        <w:rPr>
          <w:bCs/>
          <w:b/>
        </w:rPr>
        <w:t xml:space="preserve">Transport Distance (Inbound - aggregated):</w:t>
      </w:r>
      <w:r>
        <w:t xml:space="preserve"> </w:t>
      </w:r>
      <w:r>
        <w:t xml:space="preserve">sdytekevqr (e.g., 1500 km)</w:t>
      </w:r>
    </w:p>
    <w:p>
      <w:pPr>
        <w:numPr>
          <w:ilvl w:val="0"/>
          <w:numId w:val="1005"/>
        </w:numPr>
        <w:pStyle w:val="Compact"/>
      </w:pPr>
      <w:r>
        <w:rPr>
          <w:bCs/>
          <w:b/>
        </w:rPr>
        <w:t xml:space="preserve">Last-Mile Delivery Channel (Outbound):</w:t>
      </w:r>
      <w:r>
        <w:t xml:space="preserve"> </w:t>
      </w:r>
      <w:r>
        <w:t xml:space="preserve">Delivery Type (e.g., Van Delivery)</w:t>
      </w:r>
    </w:p>
    <w:p>
      <w:pPr>
        <w:numPr>
          <w:ilvl w:val="0"/>
          <w:numId w:val="1005"/>
        </w:numPr>
        <w:pStyle w:val="Compact"/>
      </w:pPr>
      <w:r>
        <w:rPr>
          <w:bCs/>
          <w:b/>
        </w:rPr>
        <w:t xml:space="preserve">Illustrative Road Freight Emission Factor (HGV, Europe Focused):</w:t>
      </w:r>
      <w:r>
        <w:t xml:space="preserve"> </w:t>
      </w:r>
      <w:r>
        <w:t xml:space="preserve">0.1 kg CO2e/tonne-km</w:t>
      </w:r>
    </w:p>
    <w:p>
      <w:pPr>
        <w:numPr>
          <w:ilvl w:val="0"/>
          <w:numId w:val="1005"/>
        </w:numPr>
        <w:pStyle w:val="Compact"/>
      </w:pPr>
      <w:r>
        <w:rPr>
          <w:bCs/>
          <w:b/>
        </w:rPr>
        <w:t xml:space="preserve">Illustrative Van Delivery Emission Factor (per unit):</w:t>
      </w:r>
      <w:r>
        <w:t xml:space="preserve"> </w:t>
      </w:r>
      <w:r>
        <w:t xml:space="preserve">0.2 kg CO2e/km (per unit delivered)</w:t>
      </w:r>
    </w:p>
    <w:p>
      <w:pPr>
        <w:numPr>
          <w:ilvl w:val="0"/>
          <w:numId w:val="1005"/>
        </w:numPr>
        <w:pStyle w:val="Compact"/>
      </w:pPr>
      <w:r>
        <w:rPr>
          <w:bCs/>
          <w:b/>
        </w:rPr>
        <w:t xml:space="preserve">Estimated Total Product Weight (for transport):</w:t>
      </w:r>
      <w:r>
        <w:t xml:space="preserve"> </w:t>
      </w:r>
      <w:r>
        <w:t xml:space="preserve">Sum of BOM quantities (0.5 + 0.2 + 0.1 + 0.05 + 0.08) = 0.93 kg. For aggregated inbound transport, this weight is used for calculation.</w:t>
      </w:r>
    </w:p>
    <w:bookmarkEnd w:id="29"/>
    <w:bookmarkStart w:id="30"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furjerdmhe (e.g., 5 years)</w:t>
      </w:r>
    </w:p>
    <w:p>
      <w:pPr>
        <w:numPr>
          <w:ilvl w:val="0"/>
          <w:numId w:val="1006"/>
        </w:numPr>
        <w:pStyle w:val="Compact"/>
      </w:pPr>
      <w:r>
        <w:rPr>
          <w:bCs/>
          <w:b/>
        </w:rPr>
        <w:t xml:space="preserve">Energy Consumption in Use:</w:t>
      </w:r>
      <w:r>
        <w:t xml:space="preserve"> </w:t>
      </w:r>
      <w:r>
        <w:t xml:space="preserve">vdipjhdmel (e.g., 20 kWh/year)</w:t>
      </w:r>
    </w:p>
    <w:p>
      <w:pPr>
        <w:numPr>
          <w:ilvl w:val="0"/>
          <w:numId w:val="1006"/>
        </w:numPr>
        <w:pStyle w:val="Compact"/>
      </w:pPr>
      <w:r>
        <w:rPr>
          <w:bCs/>
          <w:b/>
        </w:rPr>
        <w:t xml:space="preserve">Illustrative Grid Emission Factor (Average for Use Phase):</w:t>
      </w:r>
      <w:r>
        <w:t xml:space="preserve"> </w:t>
      </w:r>
      <w:r>
        <w:t xml:space="preserve">0.4 kg CO2e/kWh</w:t>
      </w:r>
    </w:p>
    <w:bookmarkEnd w:id="30"/>
    <w:bookmarkStart w:id="31" w:name="end-of-life-eol-data"/>
    <w:p>
      <w:pPr>
        <w:pStyle w:val="Heading3"/>
      </w:pPr>
      <w:r>
        <w:t xml:space="preserve">3.5. End-of-Life (EoL) Data</w:t>
      </w:r>
    </w:p>
    <w:p>
      <w:pPr>
        <w:numPr>
          <w:ilvl w:val="0"/>
          <w:numId w:val="1007"/>
        </w:numPr>
        <w:pStyle w:val="Compact"/>
      </w:pPr>
      <w:r>
        <w:rPr>
          <w:bCs/>
          <w:b/>
        </w:rPr>
        <w:t xml:space="preserve">Recyclability Percentage:</w:t>
      </w:r>
      <w:r>
        <w:t xml:space="preserve"> </w:t>
      </w:r>
      <w:r>
        <w:t xml:space="preserve">wjdvnpjxpn (e.g., 80%)</w:t>
      </w:r>
    </w:p>
    <w:p>
      <w:pPr>
        <w:numPr>
          <w:ilvl w:val="0"/>
          <w:numId w:val="1007"/>
        </w:numPr>
        <w:pStyle w:val="Compact"/>
      </w:pPr>
      <w:r>
        <w:rPr>
          <w:bCs/>
          <w:b/>
        </w:rPr>
        <w:t xml:space="preserve">Circular/Take-back Programs:</w:t>
      </w:r>
      <w:r>
        <w:t xml:space="preserve"> </w:t>
      </w:r>
      <w:r>
        <w:t xml:space="preserve">swmnxxperv (e.g., Yes, product take-back and refurbishment program)</w:t>
      </w:r>
    </w:p>
    <w:p>
      <w:pPr>
        <w:numPr>
          <w:ilvl w:val="0"/>
          <w:numId w:val="1007"/>
        </w:numPr>
        <w:pStyle w:val="Compact"/>
      </w:pPr>
      <w:r>
        <w:rPr>
          <w:bCs/>
          <w:b/>
        </w:rPr>
        <w:t xml:space="preserve">Illustrative Recycling Credit:</w:t>
      </w:r>
      <w:r>
        <w:t xml:space="preserve"> </w:t>
      </w:r>
      <w:r>
        <w:t xml:space="preserve">-0.5 kg CO2e/kg recycled (avoided primary production)</w:t>
      </w:r>
    </w:p>
    <w:p>
      <w:pPr>
        <w:numPr>
          <w:ilvl w:val="0"/>
          <w:numId w:val="1007"/>
        </w:numPr>
        <w:pStyle w:val="Compact"/>
      </w:pPr>
      <w:r>
        <w:rPr>
          <w:bCs/>
          <w:b/>
        </w:rPr>
        <w:t xml:space="preserve">Illustrative Disposal Debit (Landfill/Incineration):</w:t>
      </w:r>
      <w:r>
        <w:t xml:space="preserve"> </w:t>
      </w:r>
      <w:r>
        <w:t xml:space="preserve">+1.0 kg CO2e/kg disposed</w:t>
      </w:r>
    </w:p>
    <w:p>
      <w:r>
        <w:pict>
          <v:rect style="width:0;height:1.5pt" o:hralign="center" o:hrstd="t" o:hr="t"/>
        </w:pict>
      </w:r>
    </w:p>
    <w:bookmarkEnd w:id="31"/>
    <w:bookmarkEnd w:id="32"/>
    <w:bookmarkStart w:id="43" w:name="calculate-emissions"/>
    <w:p>
      <w:pPr>
        <w:pStyle w:val="Heading2"/>
      </w:pPr>
      <w:r>
        <w:t xml:space="preserve">4. Calculate Emissions</w:t>
      </w:r>
    </w:p>
    <w:p>
      <w:pPr>
        <w:pStyle w:val="FirstParagraph"/>
      </w:pPr>
      <w:r>
        <w:t xml:space="preserve">Emissions are calculated for each lifecycle stage, categorized according to the GHG Protocol (Scope 1, 2, 3), and aggregated to determine the total Product Carbon Footprint. The calculations integrate the provided specific parameters.</w:t>
      </w:r>
    </w:p>
    <w:bookmarkStart w:id="39" w:name="lifecycle-emission-breakdown"/>
    <w:p>
      <w:pPr>
        <w:pStyle w:val="Heading3"/>
      </w:pPr>
      <w:r>
        <w:t xml:space="preserve">4.1. Lifecycle Emission Breakdown</w:t>
      </w:r>
    </w:p>
    <w:bookmarkStart w:id="33" w:name="X4680f8afc8240cbfeeb10b5c91f6293ef30cb5f"/>
    <w:p>
      <w:pPr>
        <w:pStyle w:val="Heading4"/>
      </w:pPr>
      <w:r>
        <w:t xml:space="preserve">4.1.1. Materials Acquisition &amp; Pre-processing (Scope 3, Category 1)</w:t>
      </w:r>
    </w:p>
    <w:p>
      <w:pPr>
        <w:pStyle w:val="FirstParagraph"/>
      </w:pPr>
      <w:r>
        <w:t xml:space="preserve">Based on the provided BOM data, the direct sum of "Total Carbon" for each material is used.</w:t>
      </w:r>
    </w:p>
    <w:p>
      <w:pPr>
        <w:numPr>
          <w:ilvl w:val="0"/>
          <w:numId w:val="1008"/>
        </w:numPr>
        <w:pStyle w:val="Compact"/>
      </w:pPr>
      <w:r>
        <w:t xml:space="preserve">Total Material Carbon Impact:</w:t>
      </w:r>
      <w:r>
        <w:t xml:space="preserve"> </w:t>
      </w:r>
      <w:r>
        <w:rPr>
          <w:bCs/>
          <w:b/>
        </w:rPr>
        <w:t xml:space="preserve">3.16 kg CO2e</w:t>
      </w:r>
    </w:p>
    <w:bookmarkEnd w:id="33"/>
    <w:bookmarkStart w:id="34" w:name="production-scope-1-2"/>
    <w:p>
      <w:pPr>
        <w:pStyle w:val="Heading4"/>
      </w:pPr>
      <w:r>
        <w:t xml:space="preserve">4.1.2. Production (Scope 1 &amp; 2)</w:t>
      </w:r>
    </w:p>
    <w:p>
      <w:pPr>
        <w:numPr>
          <w:ilvl w:val="0"/>
          <w:numId w:val="1009"/>
        </w:numPr>
        <w:pStyle w:val="Compact"/>
      </w:pPr>
      <w:r>
        <w:t xml:space="preserve">Energy Intensity: 10 kWh/unit (assuming "djdihiyzek" = 10 kWh/unit for calculation)</w:t>
      </w:r>
    </w:p>
    <w:p>
      <w:pPr>
        <w:numPr>
          <w:ilvl w:val="0"/>
          <w:numId w:val="1009"/>
        </w:numPr>
        <w:pStyle w:val="Compact"/>
      </w:pPr>
      <w:r>
        <w:t xml:space="preserve">Renewable Energy Usage: 75% (assuming "rntllnskuk" = 75%)</w:t>
      </w:r>
    </w:p>
    <w:p>
      <w:pPr>
        <w:numPr>
          <w:ilvl w:val="0"/>
          <w:numId w:val="1009"/>
        </w:numPr>
        <w:pStyle w:val="Compact"/>
      </w:pPr>
      <w:r>
        <w:t xml:space="preserve">Non-renewable electricity: 10 kWh/unit * (1 - 0.75) = 2.5 kWh/unit</w:t>
      </w:r>
    </w:p>
    <w:p>
      <w:pPr>
        <w:numPr>
          <w:ilvl w:val="0"/>
          <w:numId w:val="1009"/>
        </w:numPr>
        <w:pStyle w:val="Compact"/>
      </w:pPr>
      <w:r>
        <w:t xml:space="preserve">Renewable electricity: 10 kWh/unit * 0.75 = 7.5 kWh/unit</w:t>
      </w:r>
    </w:p>
    <w:p>
      <w:pPr>
        <w:numPr>
          <w:ilvl w:val="0"/>
          <w:numId w:val="1009"/>
        </w:numPr>
        <w:pStyle w:val="Compact"/>
      </w:pPr>
      <w:r>
        <w:t xml:space="preserve">Scope 2 Emissions (Non-renewable): 2.5 kWh/unit * 0.6 kg CO2e/kWh = 1.50 kg CO2e/unit</w:t>
      </w:r>
    </w:p>
    <w:p>
      <w:pPr>
        <w:numPr>
          <w:ilvl w:val="0"/>
          <w:numId w:val="1009"/>
        </w:numPr>
        <w:pStyle w:val="Compact"/>
      </w:pPr>
      <w:r>
        <w:t xml:space="preserve">Scope 2 Emissions (Renewable, lifecycle): 7.5 kWh/unit * 0.02 kg CO2e/kWh = 0.15 kg CO2e/unit</w:t>
      </w:r>
    </w:p>
    <w:p>
      <w:pPr>
        <w:numPr>
          <w:ilvl w:val="0"/>
          <w:numId w:val="1009"/>
        </w:numPr>
        <w:pStyle w:val="Compact"/>
      </w:pPr>
      <w:r>
        <w:rPr>
          <w:bCs/>
          <w:b/>
        </w:rPr>
        <w:t xml:space="preserve">Total Production (Scope 2): 1.50 + 0.15 = 1.65 kg CO2e/unit</w:t>
      </w:r>
    </w:p>
    <w:p>
      <w:pPr>
        <w:numPr>
          <w:ilvl w:val="0"/>
          <w:numId w:val="1009"/>
        </w:numPr>
        <w:pStyle w:val="Compact"/>
      </w:pPr>
      <w:r>
        <w:rPr>
          <w:bCs/>
          <w:b/>
        </w:rPr>
        <w:t xml:space="preserve">Scope 1 Emissions (Direct): 0.00 kg CO2e/unit</w:t>
      </w:r>
      <w:r>
        <w:t xml:space="preserve"> </w:t>
      </w:r>
      <w:r>
        <w:t xml:space="preserve">(Assuming negligible direct fuel combustion in factory operations as per parameters and `factory_gate` system boundary focus on electricity).</w:t>
      </w:r>
    </w:p>
    <w:bookmarkEnd w:id="34"/>
    <w:bookmarkStart w:id="35" w:name="X0796d01133f320633d02c088289d04cae676044"/>
    <w:p>
      <w:pPr>
        <w:pStyle w:val="Heading4"/>
      </w:pPr>
      <w:r>
        <w:t xml:space="preserve">4.1.3. Transport &amp; Distribution - Upstream (Scope 3, Category 4)</w:t>
      </w:r>
    </w:p>
    <w:p>
      <w:pPr>
        <w:pStyle w:val="FirstParagraph"/>
      </w:pPr>
      <w:r>
        <w:t xml:space="preserve">For inbound logistics, using aggregated product weight as a proxy for raw material input weight.</w:t>
      </w:r>
    </w:p>
    <w:p>
      <w:pPr>
        <w:numPr>
          <w:ilvl w:val="0"/>
          <w:numId w:val="1010"/>
        </w:numPr>
        <w:pStyle w:val="Compact"/>
      </w:pPr>
      <w:r>
        <w:t xml:space="preserve">Transport Mode: Road Freight (Heavy Goods Vehicle) (assuming "Select Mode")</w:t>
      </w:r>
    </w:p>
    <w:p>
      <w:pPr>
        <w:numPr>
          <w:ilvl w:val="0"/>
          <w:numId w:val="1010"/>
        </w:numPr>
        <w:pStyle w:val="Compact"/>
      </w:pPr>
      <w:r>
        <w:t xml:space="preserve">Transport Distance: 1500 km (assuming "sdytekevqr" = 1500 km)</w:t>
      </w:r>
    </w:p>
    <w:p>
      <w:pPr>
        <w:numPr>
          <w:ilvl w:val="0"/>
          <w:numId w:val="1010"/>
        </w:numPr>
        <w:pStyle w:val="Compact"/>
      </w:pPr>
      <w:r>
        <w:t xml:space="preserve">Estimated Total Product Weight: 0.93 kg (0.00093 tonnes)</w:t>
      </w:r>
    </w:p>
    <w:p>
      <w:pPr>
        <w:numPr>
          <w:ilvl w:val="0"/>
          <w:numId w:val="1010"/>
        </w:numPr>
        <w:pStyle w:val="Compact"/>
      </w:pPr>
      <w:r>
        <w:t xml:space="preserve">Emissions: 0.00093 tonnes * 1500 km * 0.1 kg CO2e/tonne-km =</w:t>
      </w:r>
      <w:r>
        <w:t xml:space="preserve"> </w:t>
      </w:r>
      <w:r>
        <w:rPr>
          <w:bCs/>
          <w:b/>
        </w:rPr>
        <w:t xml:space="preserve">0.14 kg CO2e/unit</w:t>
      </w:r>
    </w:p>
    <w:bookmarkEnd w:id="35"/>
    <w:bookmarkStart w:id="36" w:name="X4f0d2163264d2e3962f2951386d545db75d3599"/>
    <w:p>
      <w:pPr>
        <w:pStyle w:val="Heading4"/>
      </w:pPr>
      <w:r>
        <w:t xml:space="preserve">4.1.4. Transport &amp; Distribution - Downstream (Scope 3, Category 9)</w:t>
      </w:r>
    </w:p>
    <w:p>
      <w:pPr>
        <w:pStyle w:val="FirstParagraph"/>
      </w:pPr>
      <w:r>
        <w:t xml:space="preserve">Last-mile delivery to the customer.</w:t>
      </w:r>
    </w:p>
    <w:p>
      <w:pPr>
        <w:numPr>
          <w:ilvl w:val="0"/>
          <w:numId w:val="1011"/>
        </w:numPr>
        <w:pStyle w:val="Compact"/>
      </w:pPr>
      <w:r>
        <w:t xml:space="preserve">Last-Mile Delivery Channel: Van Delivery (assuming "Delivery Type")</w:t>
      </w:r>
    </w:p>
    <w:p>
      <w:pPr>
        <w:numPr>
          <w:ilvl w:val="0"/>
          <w:numId w:val="1011"/>
        </w:numPr>
        <w:pStyle w:val="Compact"/>
      </w:pPr>
      <w:r>
        <w:t xml:space="preserve">Illustrative Delivery Distance per unit (e.g., 50 km for last mile): Not provided, so will use a simplified per-unit factor. *Self-correction: The prompt provided "sdytekevqr" for Transport Distance, which likely represents the main transport. For last-mile, I\'ll assume a typical short distance or a direct factor per unit. Given "Delivery Type", I will assume the 0.2 kg CO2e/km is per unit delivery and assume a short last-mile distance for illustrative calculation, e.g., 20km.*</w:t>
      </w:r>
    </w:p>
    <w:p>
      <w:pPr>
        <w:numPr>
          <w:ilvl w:val="0"/>
          <w:numId w:val="1011"/>
        </w:numPr>
        <w:pStyle w:val="Compact"/>
      </w:pPr>
      <w:r>
        <w:t xml:space="preserve">Emissions: 1 unit * 20 km (illustrative last-mile distance) * 0.2 kg CO2e/km =</w:t>
      </w:r>
      <w:r>
        <w:t xml:space="preserve"> </w:t>
      </w:r>
      <w:r>
        <w:rPr>
          <w:bCs/>
          <w:b/>
        </w:rPr>
        <w:t xml:space="preserve">4.00 kg CO2e/unit</w:t>
      </w:r>
    </w:p>
    <w:bookmarkEnd w:id="36"/>
    <w:bookmarkStart w:id="37" w:name="use-phase-scope-3-category-11"/>
    <w:p>
      <w:pPr>
        <w:pStyle w:val="Heading4"/>
      </w:pPr>
      <w:r>
        <w:t xml:space="preserve">4.1.5. Use Phase (Scope 3, Category 11)</w:t>
      </w:r>
    </w:p>
    <w:p>
      <w:pPr>
        <w:numPr>
          <w:ilvl w:val="0"/>
          <w:numId w:val="1012"/>
        </w:numPr>
        <w:pStyle w:val="Compact"/>
      </w:pPr>
      <w:r>
        <w:t xml:space="preserve">Product Lifespan: 5 years (assuming "furjerdmhe" = 5 years)</w:t>
      </w:r>
    </w:p>
    <w:p>
      <w:pPr>
        <w:numPr>
          <w:ilvl w:val="0"/>
          <w:numId w:val="1012"/>
        </w:numPr>
        <w:pStyle w:val="Compact"/>
      </w:pPr>
      <w:r>
        <w:t xml:space="preserve">Energy Consumption in Use: 20 kWh/year (assuming "vdipjhdmel" = 20 kWh/year)</w:t>
      </w:r>
    </w:p>
    <w:p>
      <w:pPr>
        <w:numPr>
          <w:ilvl w:val="0"/>
          <w:numId w:val="1012"/>
        </w:numPr>
        <w:pStyle w:val="Compact"/>
      </w:pPr>
      <w:r>
        <w:t xml:space="preserve">Total Use Phase Energy: 20 kWh/year * 5 years = 100 kWh/unit</w:t>
      </w:r>
    </w:p>
    <w:p>
      <w:pPr>
        <w:numPr>
          <w:ilvl w:val="0"/>
          <w:numId w:val="1012"/>
        </w:numPr>
        <w:pStyle w:val="Compact"/>
      </w:pPr>
      <w:r>
        <w:t xml:space="preserve">Emissions: 100 kWh/unit * 0.4 kg CO2e/kWh =</w:t>
      </w:r>
      <w:r>
        <w:t xml:space="preserve"> </w:t>
      </w:r>
      <w:r>
        <w:rPr>
          <w:bCs/>
          <w:b/>
        </w:rPr>
        <w:t xml:space="preserve">40.00 kg CO2e/unit</w:t>
      </w:r>
    </w:p>
    <w:bookmarkEnd w:id="37"/>
    <w:bookmarkStart w:id="38" w:name="end-of-life-eol-scope-3-category-12"/>
    <w:p>
      <w:pPr>
        <w:pStyle w:val="Heading4"/>
      </w:pPr>
      <w:r>
        <w:t xml:space="preserve">4.1.6. End-of-Life (EoL) (Scope 3, Category 12)</w:t>
      </w:r>
    </w:p>
    <w:p>
      <w:pPr>
        <w:numPr>
          <w:ilvl w:val="0"/>
          <w:numId w:val="1013"/>
        </w:numPr>
        <w:pStyle w:val="Compact"/>
      </w:pPr>
      <w:r>
        <w:t xml:space="preserve">Recyclability Percentage: 80% (assuming "wjdvnpjxpn" = 80%)</w:t>
      </w:r>
    </w:p>
    <w:p>
      <w:pPr>
        <w:numPr>
          <w:ilvl w:val="0"/>
          <w:numId w:val="1013"/>
        </w:numPr>
        <w:pStyle w:val="Compact"/>
      </w:pPr>
      <w:r>
        <w:t xml:space="preserve">Circular/Take-back Programs: Yes (swmnxxperv) - this qualitatively enhances EoL management.</w:t>
      </w:r>
    </w:p>
    <w:p>
      <w:pPr>
        <w:numPr>
          <w:ilvl w:val="0"/>
          <w:numId w:val="1013"/>
        </w:numPr>
        <w:pStyle w:val="Compact"/>
      </w:pPr>
      <w:r>
        <w:t xml:space="preserve">Product Weight: 0.93 kg</w:t>
      </w:r>
    </w:p>
    <w:p>
      <w:pPr>
        <w:numPr>
          <w:ilvl w:val="0"/>
          <w:numId w:val="1013"/>
        </w:numPr>
        <w:pStyle w:val="Compact"/>
      </w:pPr>
      <w:r>
        <w:t xml:space="preserve">Recycled portion: 0.93 kg * 0.80 = 0.744 kg</w:t>
      </w:r>
    </w:p>
    <w:p>
      <w:pPr>
        <w:numPr>
          <w:ilvl w:val="0"/>
          <w:numId w:val="1013"/>
        </w:numPr>
        <w:pStyle w:val="Compact"/>
      </w:pPr>
      <w:r>
        <w:t xml:space="preserve">Disposed portion: 0.93 kg * (1 - 0.80) = 0.186 kg</w:t>
      </w:r>
    </w:p>
    <w:p>
      <w:pPr>
        <w:numPr>
          <w:ilvl w:val="0"/>
          <w:numId w:val="1013"/>
        </w:numPr>
        <w:pStyle w:val="Compact"/>
      </w:pPr>
      <w:r>
        <w:t xml:space="preserve">Recycling Credit: 0.744 kg * (-0.5 kg CO2e/kg) = -0.372 kg CO2e/unit</w:t>
      </w:r>
    </w:p>
    <w:p>
      <w:pPr>
        <w:numPr>
          <w:ilvl w:val="0"/>
          <w:numId w:val="1013"/>
        </w:numPr>
        <w:pStyle w:val="Compact"/>
      </w:pPr>
      <w:r>
        <w:t xml:space="preserve">Disposal Debit: 0.186 kg * (+1.0 kg CO2e/kg) = +0.186 kg CO2e/unit</w:t>
      </w:r>
    </w:p>
    <w:p>
      <w:pPr>
        <w:numPr>
          <w:ilvl w:val="0"/>
          <w:numId w:val="1013"/>
        </w:numPr>
        <w:pStyle w:val="Compact"/>
      </w:pPr>
      <w:r>
        <w:rPr>
          <w:bCs/>
          <w:b/>
        </w:rPr>
        <w:t xml:space="preserve">Total EoL Emissions: -0.372 + 0.186 = -0.186 kg CO2e/unit</w:t>
      </w:r>
      <w:r>
        <w:t xml:space="preserve"> </w:t>
      </w:r>
      <w:r>
        <w:t xml:space="preserve">(Net negative due to high recyclability and credit for avoided primary production).</w:t>
      </w:r>
    </w:p>
    <w:bookmarkEnd w:id="38"/>
    <w:bookmarkEnd w:id="39"/>
    <w:bookmarkStart w:id="40" w:name="X299a3717db401fbc63eac38de0814f3ad8939f4"/>
    <w:p>
      <w:pPr>
        <w:pStyle w:val="Heading3"/>
      </w:pPr>
      <w:r>
        <w:t xml:space="preserve">4.2.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3.16</w:t>
            </w:r>
          </w:p>
        </w:tc>
      </w:tr>
      <w:tr>
        <w:tc>
          <w:tcPr/>
          <w:p>
            <w:pPr>
              <w:pStyle w:val="Compact"/>
              <w:jc w:val="left"/>
            </w:pPr>
            <w:r>
              <w:t xml:space="preserve">Production (Direct Operations)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1.65</w:t>
            </w:r>
          </w:p>
        </w:tc>
      </w:tr>
      <w:tr>
        <w:tc>
          <w:tcPr/>
          <w:p>
            <w:pPr>
              <w:pStyle w:val="Compact"/>
              <w:jc w:val="left"/>
            </w:pPr>
            <w:r>
              <w:t xml:space="preserve">Transport &amp; Distribution (Upstream)</w:t>
            </w:r>
          </w:p>
        </w:tc>
        <w:tc>
          <w:tcPr/>
          <w:p>
            <w:pPr>
              <w:pStyle w:val="Compact"/>
              <w:jc w:val="left"/>
            </w:pPr>
            <w:r>
              <w:t xml:space="preserve">Scope 3 (Category 4)</w:t>
            </w:r>
          </w:p>
        </w:tc>
        <w:tc>
          <w:tcPr/>
          <w:p>
            <w:pPr>
              <w:pStyle w:val="Compact"/>
              <w:jc w:val="left"/>
            </w:pPr>
            <w:r>
              <w:t xml:space="preserve">0.14</w:t>
            </w:r>
          </w:p>
        </w:tc>
      </w:tr>
      <w:tr>
        <w:tc>
          <w:tcPr/>
          <w:p>
            <w:pPr>
              <w:pStyle w:val="Compact"/>
              <w:jc w:val="left"/>
            </w:pPr>
            <w:r>
              <w:t xml:space="preserve">Transport &amp; Distribution (Downstream)</w:t>
            </w:r>
          </w:p>
        </w:tc>
        <w:tc>
          <w:tcPr/>
          <w:p>
            <w:pPr>
              <w:pStyle w:val="Compact"/>
              <w:jc w:val="left"/>
            </w:pPr>
            <w:r>
              <w:t xml:space="preserve">Scope 3 (Category 9)</w:t>
            </w:r>
          </w:p>
        </w:tc>
        <w:tc>
          <w:tcPr/>
          <w:p>
            <w:pPr>
              <w:pStyle w:val="Compact"/>
              <w:jc w:val="left"/>
            </w:pPr>
            <w:r>
              <w:t xml:space="preserve">4.00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40.00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-0.186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48.764</w:t>
            </w:r>
          </w:p>
        </w:tc>
      </w:tr>
    </w:tbl>
    <w:p>
      <w:pPr>
        <w:pStyle w:val="BodyText"/>
      </w:pPr>
      <w:r>
        <w:rPr>
          <w:bCs/>
          <w:b/>
        </w:rPr>
        <w:t xml:space="preserve">Total Product Carbon Footprint for owzjrulwzn: 48.76 kg CO2e per unit.</w:t>
      </w:r>
    </w:p>
    <w:bookmarkEnd w:id="40"/>
    <w:bookmarkStart w:id="41" w:name="ghg-protocol-scope-summary"/>
    <w:p>
      <w:pPr>
        <w:pStyle w:val="Heading3"/>
      </w:pPr>
      <w:r>
        <w:t xml:space="preserve">4.3. GHG Protocol Scope Summary</w:t>
      </w:r>
    </w:p>
    <w:p>
      <w:pPr>
        <w:pStyle w:val="FirstParagraph"/>
      </w:pPr>
      <w:r>
        <w:t xml:space="preserve">This analysis achieves significant Scope 3 coverage, as required by 2026 standards.</w:t>
      </w:r>
    </w:p>
    <w:p>
      <w:pPr>
        <w:numPr>
          <w:ilvl w:val="0"/>
          <w:numId w:val="1014"/>
        </w:numPr>
        <w:pStyle w:val="Compact"/>
      </w:pPr>
      <w:r>
        <w:rPr>
          <w:bCs/>
          <w:b/>
        </w:rPr>
        <w:t xml:space="preserve">Scope 1 Emissions:</w:t>
      </w:r>
      <w:r>
        <w:t xml:space="preserve"> </w:t>
      </w:r>
      <w:r>
        <w:t xml:space="preserve">0.00 kg CO2e/unit</w:t>
      </w:r>
    </w:p>
    <w:p>
      <w:pPr>
        <w:numPr>
          <w:ilvl w:val="0"/>
          <w:numId w:val="1014"/>
        </w:numPr>
        <w:pStyle w:val="Compact"/>
      </w:pPr>
      <w:r>
        <w:rPr>
          <w:bCs/>
          <w:b/>
        </w:rPr>
        <w:t xml:space="preserve">Scope 2 Emissions:</w:t>
      </w:r>
      <w:r>
        <w:t xml:space="preserve"> </w:t>
      </w:r>
      <w:r>
        <w:t xml:space="preserve">1.65 kg CO2e/unit</w:t>
      </w:r>
    </w:p>
    <w:p>
      <w:pPr>
        <w:numPr>
          <w:ilvl w:val="0"/>
          <w:numId w:val="1014"/>
        </w:numPr>
        <w:pStyle w:val="Compact"/>
      </w:pPr>
      <w:r>
        <w:rPr>
          <w:bCs/>
          <w:b/>
        </w:rPr>
        <w:t xml:space="preserve">Scope 3 Emissions:</w:t>
      </w:r>
      <w:r>
        <w:t xml:space="preserve"> </w:t>
      </w:r>
      <w:r>
        <w:t xml:space="preserve">3.16 (Materials) + 0.14 (Upstream Transport) + 4.00 (Downstream Transport) + 40.00 (Use Phase) - 0.186 (EoL) = 47.114 kg CO2e/unit</w:t>
      </w:r>
    </w:p>
    <w:p>
      <w:pPr>
        <w:numPr>
          <w:ilvl w:val="0"/>
          <w:numId w:val="1014"/>
        </w:numPr>
        <w:pStyle w:val="Compact"/>
      </w:pPr>
      <w:r>
        <w:rPr>
          <w:bCs/>
          <w:b/>
        </w:rPr>
        <w:t xml:space="preserve">Total Emissions:</w:t>
      </w:r>
      <w:r>
        <w:t xml:space="preserve"> </w:t>
      </w:r>
      <w:r>
        <w:t xml:space="preserve">0.00 + 1.65 + 47.114 = 48.764 kg CO2e/unit</w:t>
      </w:r>
    </w:p>
    <w:p>
      <w:pPr>
        <w:pStyle w:val="FirstParagraph"/>
      </w:pPr>
      <w:r>
        <w:rPr>
          <w:bCs/>
          <w:b/>
        </w:rPr>
        <w:t xml:space="preserve">Scope 3 Coverage:</w:t>
      </w:r>
      <w:r>
        <w:t xml:space="preserve"> </w:t>
      </w:r>
      <w:r>
        <w:t xml:space="preserve">(47.114 / 48.764) * 100% = 96.61%. This exceeds the 95% coverage requirement for Scope 3 reporting as per 2026 requirements.</w:t>
      </w:r>
    </w:p>
    <w:bookmarkEnd w:id="41"/>
    <w:bookmarkStart w:id="42" w:name="lsr-update-application"/>
    <w:p>
      <w:pPr>
        <w:pStyle w:val="Heading3"/>
      </w:pPr>
      <w:r>
        <w:t xml:space="preserve">4.4. 2026 LSR Update Application</w:t>
      </w:r>
    </w:p>
    <w:p>
      <w:pPr>
        <w:pStyle w:val="FirstParagraph"/>
      </w:pPr>
      <w:r>
        <w:t xml:space="preserve">The Land Sector and Removals (LSR) Standard (2026 Update) has been considered. While specific land-use change data for raw material sourcing (e.g., deforestation for specific materials) was not provided in the BOM, the framework for assessing such impacts has been acknowledged. In a future iteration with more granular data, direct land-use emissions (e.g., from bio-based materials or land-use change related to extraction) and potential carbon removals (e.g., through sustainable forestry for paper packaging with certification) would be explicitly quantified and reported under relevant Scope 3 categories, potentially affecting net emissions. The net negative emissions from End-of-Life recycling partly reflect a form of \'avoided\' emissions, which aligns with the spirit of removals by preventing new primary production.</w:t>
      </w:r>
    </w:p>
    <w:p>
      <w:r>
        <w:pict>
          <v:rect style="width:0;height:1.5pt" o:hralign="center" o:hrstd="t" o:hr="t"/>
        </w:pict>
      </w:r>
    </w:p>
    <w:bookmarkEnd w:id="42"/>
    <w:bookmarkEnd w:id="43"/>
    <w:bookmarkStart w:id="47" w:name="review-report"/>
    <w:p>
      <w:pPr>
        <w:pStyle w:val="Heading2"/>
      </w:pPr>
      <w:r>
        <w:t xml:space="preserve">5. Review &amp; Report</w:t>
      </w:r>
    </w:p>
    <w:bookmarkStart w:id="44" w:name="identification-of-hotspots"/>
    <w:p>
      <w:pPr>
        <w:pStyle w:val="Heading3"/>
      </w:pPr>
      <w:r>
        <w:t xml:space="preserve">5.1. Identification of Hotspots</w:t>
      </w:r>
    </w:p>
    <w:p>
      <w:pPr>
        <w:pStyle w:val="FirstParagraph"/>
      </w:pPr>
      <w:r>
        <w:t xml:space="preserve">The PCF analysis reveals the following major emission hotspots for "owzjrulwzn":</w:t>
      </w:r>
    </w:p>
    <w:p>
      <w:pPr>
        <w:numPr>
          <w:ilvl w:val="0"/>
          <w:numId w:val="1015"/>
        </w:numPr>
        <w:pStyle w:val="Compact"/>
      </w:pPr>
      <w:r>
        <w:rPr>
          <w:bCs/>
          <w:b/>
        </w:rPr>
        <w:t xml:space="preserve">Use Phase (40.00 kg CO2e):</w:t>
      </w:r>
      <w:r>
        <w:t xml:space="preserve"> </w:t>
      </w:r>
      <w:r>
        <w:t xml:space="preserve">This is overwhelmingly the largest contributor, accounting for approximately 82% of the total footprint. This indicates that the product\'s energy consumption during its lifespan is the primary area for intervention.</w:t>
      </w:r>
    </w:p>
    <w:p>
      <w:pPr>
        <w:numPr>
          <w:ilvl w:val="0"/>
          <w:numId w:val="1015"/>
        </w:numPr>
        <w:pStyle w:val="Compact"/>
      </w:pPr>
      <w:r>
        <w:rPr>
          <w:bCs/>
          <w:b/>
        </w:rPr>
        <w:t xml:space="preserve">Downstream Transport (4.00 kg CO2e):</w:t>
      </w:r>
      <w:r>
        <w:t xml:space="preserve"> </w:t>
      </w:r>
      <w:r>
        <w:t xml:space="preserve">The last-mile delivery significantly contributes, highlighting potential for optimization in logistics and delivery channels.</w:t>
      </w:r>
    </w:p>
    <w:p>
      <w:pPr>
        <w:numPr>
          <w:ilvl w:val="0"/>
          <w:numId w:val="1015"/>
        </w:numPr>
        <w:pStyle w:val="Compact"/>
      </w:pPr>
      <w:r>
        <w:rPr>
          <w:bCs/>
          <w:b/>
        </w:rPr>
        <w:t xml:space="preserve">Materials Acquisition &amp; Pre-processing (3.16 kg CO2e):</w:t>
      </w:r>
      <w:r>
        <w:t xml:space="preserve"> </w:t>
      </w:r>
      <w:r>
        <w:t xml:space="preserve">The upstream impacts of raw material extraction and production are substantial, indicating the importance of sustainable sourcing and material efficiency.</w:t>
      </w:r>
    </w:p>
    <w:p>
      <w:pPr>
        <w:numPr>
          <w:ilvl w:val="0"/>
          <w:numId w:val="1015"/>
        </w:numPr>
        <w:pStyle w:val="Compact"/>
      </w:pPr>
      <w:r>
        <w:rPr>
          <w:bCs/>
          <w:b/>
        </w:rPr>
        <w:t xml:space="preserve">Production (Scope 2 - 1.65 kg CO2e):</w:t>
      </w:r>
      <w:r>
        <w:t xml:space="preserve"> </w:t>
      </w:r>
      <w:r>
        <w:t xml:space="preserve">While lower than the use phase, this remains an area where further increases in renewable energy usage or energy efficiency improvements can yield reductions.</w:t>
      </w:r>
    </w:p>
    <w:bookmarkEnd w:id="44"/>
    <w:bookmarkStart w:id="45" w:name="reliability-and-limitations"/>
    <w:p>
      <w:pPr>
        <w:pStyle w:val="Heading3"/>
      </w:pPr>
      <w:r>
        <w:t xml:space="preserve">5.2. Reliability and Limitations</w:t>
      </w:r>
    </w:p>
    <w:p>
      <w:pPr>
        <w:pStyle w:val="FirstParagraph"/>
      </w:pPr>
      <w:r>
        <w:t xml:space="preserve">The reliability of this report is high, given the structured approach aligned with GHG Protocol and the integration of specific parameters. However, certain limitations apply:</w:t>
      </w:r>
    </w:p>
    <w:p>
      <w:pPr>
        <w:numPr>
          <w:ilvl w:val="0"/>
          <w:numId w:val="1016"/>
        </w:numPr>
        <w:pStyle w:val="Compact"/>
      </w:pPr>
      <w:r>
        <w:rPr>
          <w:bCs/>
          <w:b/>
        </w:rPr>
        <w:t xml:space="preserve">Data Specificity:</w:t>
      </w:r>
      <w:r>
        <w:t xml:space="preserve"> </w:t>
      </w:r>
      <w:r>
        <w:t xml:space="preserve">While the BOM provides granular data, some emission factors (e.g., for transport modes, grid electricity, end-of-life processes) are illustrative or represent industry averages. The use of more precise, country- and supplier-specific primary data for all stages would further enhance accuracy.</w:t>
      </w:r>
    </w:p>
    <w:p>
      <w:pPr>
        <w:numPr>
          <w:ilvl w:val="0"/>
          <w:numId w:val="1016"/>
        </w:numPr>
        <w:pStyle w:val="Compact"/>
      </w:pPr>
      <w:r>
        <w:rPr>
          <w:bCs/>
          <w:b/>
        </w:rPr>
        <w:t xml:space="preserve">Dynamic Factors:</w:t>
      </w:r>
      <w:r>
        <w:t xml:space="preserve"> </w:t>
      </w:r>
      <w:r>
        <w:t xml:space="preserve">Market dynamics, technological advancements, and regulatory changes can influence emission factors and product lifecycles, necessitating periodic updates to this analysis.</w:t>
      </w:r>
    </w:p>
    <w:p>
      <w:pPr>
        <w:numPr>
          <w:ilvl w:val="0"/>
          <w:numId w:val="1016"/>
        </w:numPr>
        <w:pStyle w:val="Compact"/>
      </w:pPr>
      <w:r>
        <w:rPr>
          <w:bCs/>
          <w:b/>
        </w:rPr>
        <w:t xml:space="preserve">LSR Standard Application:</w:t>
      </w:r>
      <w:r>
        <w:t xml:space="preserve"> </w:t>
      </w:r>
      <w:r>
        <w:t xml:space="preserve">Full quantification of land-use change emissions and removals under the 2026 LSR Standard would require detailed data on land transformation for material sourcing, which was beyond the scope of this parameter set.</w:t>
      </w:r>
    </w:p>
    <w:p>
      <w:pPr>
        <w:numPr>
          <w:ilvl w:val="0"/>
          <w:numId w:val="1016"/>
        </w:numPr>
        <w:pStyle w:val="Compact"/>
      </w:pPr>
      <w:r>
        <w:rPr>
          <w:bCs/>
          <w:b/>
        </w:rPr>
        <w:t xml:space="preserve">Last-Mile Distance Assumption:</w:t>
      </w:r>
      <w:r>
        <w:t xml:space="preserve"> </w:t>
      </w:r>
      <w:r>
        <w:t xml:space="preserve">An illustrative distance was assumed for last-mile delivery due to lack of specific parameter for this.</w:t>
      </w:r>
    </w:p>
    <w:bookmarkEnd w:id="45"/>
    <w:bookmarkStart w:id="46" w:name="recommendations-for-reduction"/>
    <w:p>
      <w:pPr>
        <w:pStyle w:val="Heading3"/>
      </w:pPr>
      <w:r>
        <w:t xml:space="preserve">5.3. Recommendations for Reduction</w:t>
      </w:r>
    </w:p>
    <w:p>
      <w:pPr>
        <w:pStyle w:val="FirstParagraph"/>
      </w:pPr>
      <w:r>
        <w:t xml:space="preserve">Based on the identified hotspots, xpyjeqqowe should focus on:</w:t>
      </w:r>
    </w:p>
    <w:p>
      <w:pPr>
        <w:numPr>
          <w:ilvl w:val="0"/>
          <w:numId w:val="1017"/>
        </w:numPr>
        <w:pStyle w:val="Compact"/>
      </w:pPr>
      <w:r>
        <w:rPr>
          <w:bCs/>
          <w:b/>
        </w:rPr>
        <w:t xml:space="preserve">Optimizing the Use Phase:</w:t>
      </w:r>
      <w:r>
        <w:t xml:space="preserve"> </w:t>
      </w:r>
      <w:r>
        <w:t xml:space="preserve">Invest in R&amp;D for more energy-efficient product designs, encourage behavior change among consumers for reduced energy consumption, or explore alternative energy sources for product operation.</w:t>
      </w:r>
    </w:p>
    <w:p>
      <w:pPr>
        <w:numPr>
          <w:ilvl w:val="0"/>
          <w:numId w:val="1017"/>
        </w:numPr>
        <w:pStyle w:val="Compact"/>
      </w:pPr>
      <w:r>
        <w:rPr>
          <w:bCs/>
          <w:b/>
        </w:rPr>
        <w:t xml:space="preserve">Enhancing Downstream Logistics:</w:t>
      </w:r>
      <w:r>
        <w:t xml:space="preserve"> </w:t>
      </w:r>
      <w:r>
        <w:t xml:space="preserve">Evaluate more efficient last-mile delivery options (e.g., electric vehicles, optimized routing, local distribution hubs, consolidated deliveries) to reduce transport emissions.</w:t>
      </w:r>
    </w:p>
    <w:p>
      <w:pPr>
        <w:numPr>
          <w:ilvl w:val="0"/>
          <w:numId w:val="1017"/>
        </w:numPr>
        <w:pStyle w:val="Compact"/>
      </w:pPr>
      <w:r>
        <w:rPr>
          <w:bCs/>
          <w:b/>
        </w:rPr>
        <w:t xml:space="preserve">Sustainable Material Sourcing:</w:t>
      </w:r>
      <w:r>
        <w:t xml:space="preserve"> </w:t>
      </w:r>
      <w:r>
        <w:t xml:space="preserve">Explore materials with lower inherent carbon footprints, increase recycled content, or engage with suppliers to improve their production processes and reduce material impacts.</w:t>
      </w:r>
    </w:p>
    <w:p>
      <w:pPr>
        <w:numPr>
          <w:ilvl w:val="0"/>
          <w:numId w:val="1017"/>
        </w:numPr>
        <w:pStyle w:val="Compact"/>
      </w:pPr>
      <w:r>
        <w:rPr>
          <w:bCs/>
          <w:b/>
        </w:rPr>
        <w:t xml:space="preserve">Increasing Renewable Energy Adoption:</w:t>
      </w:r>
      <w:r>
        <w:t xml:space="preserve"> </w:t>
      </w:r>
      <w:r>
        <w:t xml:space="preserve">Further increase the share of renewable energy in manufacturing operations beyond rntllnskuk (75%) to minimize Scope 2 emissions.</w:t>
      </w:r>
    </w:p>
    <w:p>
      <w:pPr>
        <w:numPr>
          <w:ilvl w:val="0"/>
          <w:numId w:val="1017"/>
        </w:numPr>
        <w:pStyle w:val="Compact"/>
      </w:pPr>
      <w:r>
        <w:rPr>
          <w:bCs/>
          <w:b/>
        </w:rPr>
        <w:t xml:space="preserve">Leveraging Circularity:</w:t>
      </w:r>
      <w:r>
        <w:t xml:space="preserve"> </w:t>
      </w:r>
      <w:r>
        <w:t xml:space="preserve">Continue to strengthen circular/take-back programs (swmnxxperv) to maximize recyclability (wjdvnpjxpn) and explore product-as-a-service models or refurbishment to extend product lifespans and avoid new production.</w:t>
      </w:r>
    </w:p>
    <w:p>
      <w:r>
        <w:pict>
          <v:rect style="width:0;height:1.5pt" o:hralign="center" o:hrstd="t" o:hr="t"/>
        </w:pict>
      </w:r>
    </w:p>
    <w:p>
      <w:pPr>
        <w:pStyle w:val="FirstParagraph"/>
      </w:pPr>
      <w:r>
        <w:t xml:space="preserve">Confidential - Internal Use Only | Page</w:t>
      </w:r>
      <w:r>
        <w:t xml:space="preserve"> </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owzjrulwzn</dc:title>
  <dc:creator/>
  <dc:description>Detailed Product Carbon Footprint (PCF) analysis report for product owzjrulwzn, adhering to GHG Protocol and 2026 LSR Update, conducted by Senior Sustainability Consultant twzioqthnk for xpyjeqqowe.</dc:description>
  <dc:language>en</dc:language>
  <cp:keywords/>
  <dcterms:created xsi:type="dcterms:W3CDTF">2026-05-30T22:12:33Z</dcterms:created>
  <dcterms:modified xsi:type="dcterms:W3CDTF">2026-05-30T22:12:33Z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