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owoyhppovu</w:t>
      </w:r>
    </w:p>
    <w:p>
      <w:pPr>
        <w:pStyle w:val="FirstParagraph"/>
      </w:pPr>
      <w:r>
        <w:t xml:space="preserve">carboncalcpcf.com</w:t>
      </w:r>
    </w:p>
    <w:p>
      <w:pPr>
        <w:pStyle w:val="BodyText"/>
      </w:pPr>
      <w:r>
        <w:br/>
      </w:r>
      <w:r>
        <w:br/>
      </w:r>
    </w:p>
    <w:bookmarkStart w:id="21" w:name="Xf2e6ab5be446359d80f42f50d41e46314dfe19d"/>
    <w:p>
      <w:pPr>
        <w:pStyle w:val="Heading1"/>
      </w:pPr>
      <w:r>
        <w:t xml:space="preserve">Product Carbon Footprint (PCF) Analysis Report</w:t>
      </w:r>
    </w:p>
    <w:p>
      <w:pPr>
        <w:pStyle w:val="FirstParagraph"/>
      </w:pPr>
      <w:r>
        <w:rPr>
          <w:bCs/>
          <w:b/>
        </w:rPr>
        <w:t xml:space="preserve">For Product:</w:t>
      </w:r>
      <w:r>
        <w:t xml:space="preserve"> </w:t>
      </w:r>
      <w:r>
        <w:t xml:space="preserve">owoyhppovu</w:t>
      </w:r>
    </w:p>
    <w:p>
      <w:pPr>
        <w:pStyle w:val="BodyText"/>
      </w:pPr>
      <w:r>
        <w:rPr>
          <w:bCs/>
          <w:b/>
        </w:rPr>
        <w:t xml:space="preserve">Company:</w:t>
      </w:r>
      <w:r>
        <w:t xml:space="preserve"> </w:t>
      </w:r>
      <w:r>
        <w:t xml:space="preserve">umlpujtuqr</w:t>
      </w:r>
    </w:p>
    <w:p>
      <w:pPr>
        <w:pStyle w:val="BodyText"/>
      </w:pPr>
      <w:r>
        <w:br/>
      </w:r>
    </w:p>
    <w:bookmarkStart w:id="20" w:name="protocol-data"/>
    <w:p>
      <w:pPr>
        <w:pStyle w:val="Heading2"/>
      </w:pPr>
      <w:r>
        <w:t xml:space="preserve">Protocol Data</w:t>
      </w:r>
    </w:p>
    <w:p>
      <w:pPr>
        <w:pStyle w:val="FirstParagraph"/>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ezthypespv</w:t>
      </w:r>
    </w:p>
    <w:p>
      <w:pPr>
        <w:pStyle w:val="BodyText"/>
      </w:pPr>
      <w:r>
        <w:br/>
      </w:r>
      <w:r>
        <w:br/>
      </w:r>
      <w:r>
        <w:br/>
      </w:r>
    </w:p>
    <w:p>
      <w:pPr>
        <w:pStyle w:val="BodyText"/>
      </w:pPr>
      <w:r>
        <w:t xml:space="preserve">This report is generated based on available data and industry standards. For certain parameters,</w:t>
      </w:r>
      <w:r>
        <w:t xml:space="preserve"> </w:t>
      </w:r>
      <w:r>
        <w:t xml:space="preserve">representative data has been used to demonstrate the methodology due to the literal string nature</w:t>
      </w:r>
      <w:r>
        <w:t xml:space="preserve"> </w:t>
      </w:r>
      <w:r>
        <w:t xml:space="preserve">of the provided input values. Actual results would require precise primary data.</w:t>
      </w:r>
    </w:p>
    <w:bookmarkEnd w:id="20"/>
    <w:bookmarkEnd w:id="21"/>
    <w:bookmarkStart w:id="4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June 02,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owoyhppovu</w:t>
      </w:r>
      <w:r>
        <w:t xml:space="preserve">,</w:t>
      </w:r>
      <w:r>
        <w:t xml:space="preserve"> </w:t>
      </w:r>
      <w:r>
        <w:t xml:space="preserve">on behalf of</w:t>
      </w:r>
      <w:r>
        <w:t xml:space="preserve"> </w:t>
      </w:r>
      <w:r>
        <w:rPr>
          <w:bCs/>
          <w:b/>
        </w:rPr>
        <w:t xml:space="preserve">umlpujtuqr</w:t>
      </w:r>
      <w:r>
        <w:t xml:space="preserve">. The analysis was conducted by</w:t>
      </w:r>
      <w:r>
        <w:t xml:space="preserve"> </w:t>
      </w:r>
      <w:r>
        <w:rPr>
          <w:bCs/>
          <w:b/>
        </w:rPr>
        <w:t xml:space="preserve">ezthypespv</w:t>
      </w:r>
      <w:r>
        <w:t xml:space="preserve">, Senior Sustainability Consultant,</w:t>
      </w:r>
      <w:r>
        <w:t xml:space="preserve"> </w:t>
      </w:r>
      <w:r>
        <w:t xml:space="preserve">adhering strictly to the GHG Protocol. The objective is to quantify the greenhouse gas (GHG) emissions</w:t>
      </w:r>
      <w:r>
        <w:t xml:space="preserve"> </w:t>
      </w:r>
      <w:r>
        <w:t xml:space="preserve">across the product\'s lifecycle, from raw material acquisition to end-of-life, identify emission hotspots,</w:t>
      </w:r>
      <w:r>
        <w:t xml:space="preserve"> </w:t>
      </w:r>
      <w:r>
        <w:t xml:space="preserve">and provide a foundation for sustainability improvements. The total calculated PCF for</w:t>
      </w:r>
      <w:r>
        <w:t xml:space="preserve"> </w:t>
      </w:r>
      <w:r>
        <w:rPr>
          <w:bCs/>
          <w:b/>
        </w:rPr>
        <w:t xml:space="preserve">owoyhppovu</w:t>
      </w:r>
      <w:r>
        <w:t xml:space="preserve"> </w:t>
      </w:r>
      <w:r>
        <w:t xml:space="preserve">is approximately</w:t>
      </w:r>
      <w:r>
        <w:t xml:space="preserve"> </w:t>
      </w:r>
      <w:r>
        <w:rPr>
          <w:bCs/>
          <w:b/>
        </w:rPr>
        <w:t xml:space="preserve">13.25 kg CO2e per functional unit</w:t>
      </w:r>
      <w:r>
        <w:t xml:space="preserve">, with the Use Phase and Material Acquisition &amp; Processing</w:t>
      </w:r>
      <w:r>
        <w:t xml:space="preserve"> </w:t>
      </w:r>
      <w:r>
        <w:t xml:space="preserve">identified as significant contributors to the overall footprint, based on representative data.</w:t>
      </w:r>
    </w:p>
    <w:p>
      <w:r>
        <w:pict>
          <v:rect style="width:0;height:1.5pt" o:hralign="center" o:hrstd="t" o:hr="t"/>
        </w:pict>
      </w:r>
    </w:p>
    <w:bookmarkEnd w:id="22"/>
    <w:bookmarkStart w:id="38" w:name="methodology"/>
    <w:p>
      <w:pPr>
        <w:pStyle w:val="Heading2"/>
      </w:pPr>
      <w:r>
        <w:t xml:space="preserve">Methodology</w:t>
      </w:r>
    </w:p>
    <w:p>
      <w:pPr>
        <w:pStyle w:val="FirstParagraph"/>
      </w:pPr>
      <w:r>
        <w:t xml:space="preserve">The Product Carbon Footprint (PCF) analysis was performed following the five-step approach mandated by the GHG Protocol,</w:t>
      </w:r>
      <w:r>
        <w:t xml:space="preserve"> </w:t>
      </w:r>
      <w:r>
        <w:t xml:space="preserve">which categorizes emissions into Scope 1 (direct emissions), Scope 2 (purchased energy), and Scope 3 (value chain emissions).</w:t>
      </w:r>
    </w:p>
    <w:p>
      <w:pPr>
        <w:pStyle w:val="BodyText"/>
      </w:pPr>
      <w:r>
        <w:t xml:space="preserve">This analysis explicitly incorporates the</w:t>
      </w:r>
      <w:r>
        <w:t xml:space="preserve"> </w:t>
      </w:r>
      <w:r>
        <w:rPr>
          <w:bCs/>
          <w:b/>
        </w:rPr>
        <w:t xml:space="preserve">GHG Protocol\'s Land Sector and Removals (LSR) Standard (2026 Update)</w:t>
      </w:r>
      <w:r>
        <w:t xml:space="preserve"> </w:t>
      </w:r>
      <w:r>
        <w:t xml:space="preserve">by considering land use changes and carbon removals within the value chain, where applicable data would be integrated.</w:t>
      </w:r>
      <w:r>
        <w:t xml:space="preserve"> </w:t>
      </w:r>
      <w:r>
        <w:t xml:space="preserve">Emphasis was placed on ensuring comprehensive</w:t>
      </w:r>
      <w:r>
        <w:t xml:space="preserve"> </w:t>
      </w:r>
      <w:r>
        <w:rPr>
          <w:bCs/>
          <w:b/>
        </w:rPr>
        <w:t xml:space="preserve">Scope 3 compliance</w:t>
      </w:r>
      <w:r>
        <w:t xml:space="preserve">, targeting at least 95% coverage for all value chain</w:t>
      </w:r>
      <w:r>
        <w:t xml:space="preserve"> </w:t>
      </w:r>
      <w:r>
        <w:t xml:space="preserve">emissions to meet 2026 reporting requirements, demonstrating a commitment to thoroughness even with representative data.</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owoyhppovu.</w:t>
      </w:r>
    </w:p>
    <w:p>
      <w:pPr>
        <w:numPr>
          <w:ilvl w:val="0"/>
          <w:numId w:val="1001"/>
        </w:numPr>
        <w:pStyle w:val="Compact"/>
      </w:pPr>
      <w:r>
        <w:rPr>
          <w:bCs/>
          <w:b/>
        </w:rPr>
        <w:t xml:space="preserve">System Boundary:</w:t>
      </w:r>
      <w:r>
        <w:t xml:space="preserve"> </w:t>
      </w:r>
      <w:r>
        <w:t xml:space="preserve">Cradle-to-grave, with a primary focus on factory_gate for Scope 1 and 2, and including</w:t>
      </w:r>
      <w:r>
        <w:t xml:space="preserve"> </w:t>
      </w:r>
      <w:r>
        <w:t xml:space="preserve">upstream and downstream Scope 3 activities extending beyond the factory gate.</w:t>
      </w:r>
    </w:p>
    <w:p>
      <w:pPr>
        <w:numPr>
          <w:ilvl w:val="0"/>
          <w:numId w:val="1001"/>
        </w:numPr>
        <w:pStyle w:val="Compact"/>
      </w:pPr>
      <w:r>
        <w:rPr>
          <w:bCs/>
          <w:b/>
        </w:rPr>
        <w:t xml:space="preserve">Geographic Scope:</w:t>
      </w:r>
      <w:r>
        <w:t xml:space="preserve"> </w:t>
      </w:r>
      <w:r>
        <w:t xml:space="preserve">Final Production Country: China; Supply Chain Focus: Europe Focused (implying material sourcing from Europe and potential sales/use in Europe).</w:t>
      </w:r>
    </w:p>
    <w:p>
      <w:pPr>
        <w:numPr>
          <w:ilvl w:val="0"/>
          <w:numId w:val="1001"/>
        </w:numPr>
        <w:pStyle w:val="Compact"/>
      </w:pPr>
      <w:r>
        <w:rPr>
          <w:bCs/>
          <w:b/>
        </w:rPr>
        <w:t xml:space="preserve">Allocation:</w:t>
      </w:r>
      <w:r>
        <w:t xml:space="preserve"> </w:t>
      </w:r>
      <w:r>
        <w:t xml:space="preserve">Mass-based allocation is applied where co-production or multi-output processes occur, ensuring</w:t>
      </w:r>
      <w:r>
        <w:t xml:space="preserve"> </w:t>
      </w:r>
      <w:r>
        <w:t xml:space="preserve">fair distribution of environmental burden per functional unit.</w:t>
      </w:r>
    </w:p>
    <w:bookmarkEnd w:id="23"/>
    <w:bookmarkStart w:id="24" w:name="map-lifecycle-lci-inventory-stages"/>
    <w:p>
      <w:pPr>
        <w:pStyle w:val="Heading3"/>
      </w:pPr>
      <w:r>
        <w:t xml:space="preserve">2. Map Lifecycle (LCI Inventory Stages)</w:t>
      </w:r>
    </w:p>
    <w:p>
      <w:pPr>
        <w:pStyle w:val="FirstParagraph"/>
      </w:pPr>
      <w:r>
        <w:t xml:space="preserve">The lifecycle of owoyhppovu is mapped across five key stages to ensure comprehensive coverage:</w:t>
      </w:r>
    </w:p>
    <w:p>
      <w:pPr>
        <w:numPr>
          <w:ilvl w:val="0"/>
          <w:numId w:val="1002"/>
        </w:numPr>
        <w:pStyle w:val="Compact"/>
      </w:pPr>
      <w:r>
        <w:rPr>
          <w:bCs/>
          <w:b/>
        </w:rPr>
        <w:t xml:space="preserve">Material Acquisition &amp; Processing:</w:t>
      </w:r>
      <w:r>
        <w:t xml:space="preserve"> </w:t>
      </w:r>
      <w:r>
        <w:t xml:space="preserve">Extraction of raw materials and their initial processing into components.</w:t>
      </w:r>
    </w:p>
    <w:p>
      <w:pPr>
        <w:numPr>
          <w:ilvl w:val="0"/>
          <w:numId w:val="1002"/>
        </w:numPr>
        <w:pStyle w:val="Compact"/>
      </w:pPr>
      <w:r>
        <w:rPr>
          <w:bCs/>
          <w:b/>
        </w:rPr>
        <w:t xml:space="preserve">Manufacturing:</w:t>
      </w:r>
      <w:r>
        <w:t xml:space="preserve"> </w:t>
      </w:r>
      <w:r>
        <w:t xml:space="preserve">Production activities at the factory (assembly, fabrication) including energy consumption.</w:t>
      </w:r>
    </w:p>
    <w:p>
      <w:pPr>
        <w:numPr>
          <w:ilvl w:val="0"/>
          <w:numId w:val="1002"/>
        </w:numPr>
        <w:pStyle w:val="Compact"/>
      </w:pPr>
      <w:r>
        <w:rPr>
          <w:bCs/>
          <w:b/>
        </w:rPr>
        <w:t xml:space="preserve">Transport:</w:t>
      </w:r>
      <w:r>
        <w:t xml:space="preserve"> </w:t>
      </w:r>
      <w:r>
        <w:t xml:space="preserve">Logistics of raw materials/components to the factory (inbound) and finished products to market (outbound), including last-mile delivery.</w:t>
      </w:r>
    </w:p>
    <w:p>
      <w:pPr>
        <w:numPr>
          <w:ilvl w:val="0"/>
          <w:numId w:val="1002"/>
        </w:numPr>
        <w:pStyle w:val="Compact"/>
      </w:pPr>
      <w:r>
        <w:rPr>
          <w:bCs/>
          <w:b/>
        </w:rPr>
        <w:t xml:space="preserve">Use Phase:</w:t>
      </w:r>
      <w:r>
        <w:t xml:space="preserve"> </w:t>
      </w:r>
      <w:r>
        <w:t xml:space="preserve">Energy and resource consumption during the product\'s operational lifetime.</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30" w:name="Xb57f50a89bf1f3f1837369be949d9d60d6c1272"/>
    <w:p>
      <w:pPr>
        <w:pStyle w:val="Heading3"/>
      </w:pPr>
      <w:r>
        <w:t xml:space="preserve">3. Collect Data (Primary/Secondary Data Points)</w:t>
      </w:r>
    </w:p>
    <w:p>
      <w:pPr>
        <w:pStyle w:val="FirstParagraph"/>
      </w:pPr>
      <w:r>
        <w:t xml:space="preserve">To perform a high-detail analysis, specific data points were considered,</w:t>
      </w:r>
      <w:r>
        <w:t xml:space="preserve"> </w:t>
      </w:r>
      <w:r>
        <w:t xml:space="preserve">utilizing representative values where the input parameters were provided as literal strings.</w:t>
      </w:r>
      <w:r>
        <w:t xml:space="preserve"> </w:t>
      </w:r>
      <w:r>
        <w:t xml:space="preserve">The methodology for collecting and integrating this data is outlined below:</w:t>
      </w:r>
    </w:p>
    <w:bookmarkStart w:id="25" w:name="detailed-bill-of-materials-bom-data"/>
    <w:p>
      <w:pPr>
        <w:pStyle w:val="Heading4"/>
      </w:pPr>
      <w:r>
        <w:t xml:space="preserve">Detailed Bill of Materials (BOM) Data</w:t>
      </w:r>
    </w:p>
    <w:p>
      <w:pPr>
        <w:pStyle w:val="FirstParagraph"/>
      </w:pPr>
      <w:r>
        <w:t xml:space="preserve">The provided input parameter for the Detailed Bill of Materials was \'fqhiyqpz\'.</w:t>
      </w:r>
      <w:r>
        <w:t xml:space="preserve"> </w:t>
      </w:r>
      <w:r>
        <w:t xml:space="preserve">For the purpose of calculation and demonstration, the following representative BOM data was utilized,</w:t>
      </w:r>
      <w:r>
        <w:t xml:space="preserve"> </w:t>
      </w:r>
      <w:r>
        <w:t xml:space="preserve">adhering to the specified format (ID, Description, Category, Process, Qty, Unit, Emission Factor, Total Carbon).</w:t>
      </w:r>
      <w:r>
        <w:t xml:space="preserve"> </w:t>
      </w:r>
      <w:r>
        <w:t xml:space="preserve">The \'Total Carbon\' values represent pre-calculated emissions for the given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p>
      <w:pPr>
        <w:pStyle w:val="BodyText"/>
      </w:pPr>
      <w:r>
        <w:t xml:space="preserve">Total Estimated Product Mass (based on representative BOM): 1.18 kg (0.5kg Al + 0.3kg Plastic + 0.2kg Cardboard + 0.1unit*0.1kg/unit for electronics).</w:t>
      </w:r>
    </w:p>
    <w:bookmarkEnd w:id="25"/>
    <w:bookmarkStart w:id="26" w:name="logistics-data"/>
    <w:p>
      <w:pPr>
        <w:pStyle w:val="Heading4"/>
      </w:pPr>
      <w:r>
        <w:t xml:space="preserve">Logistics Data</w:t>
      </w:r>
    </w:p>
    <w:p>
      <w:pPr>
        <w:pStyle w:val="FirstParagraph"/>
      </w:pPr>
      <w:r>
        <w:t xml:space="preserve">Input parameters for transport were \'Select Mode\', \'jqfevqtyrg\', and \'Delivery Type\'.</w:t>
      </w:r>
      <w:r>
        <w:t xml:space="preserve"> </w:t>
      </w:r>
      <w:r>
        <w:t xml:space="preserve">Representative data for logistics is assumed as follows:</w:t>
      </w:r>
    </w:p>
    <w:p>
      <w:pPr>
        <w:numPr>
          <w:ilvl w:val="0"/>
          <w:numId w:val="1003"/>
        </w:numPr>
        <w:pStyle w:val="Compact"/>
      </w:pPr>
      <w:r>
        <w:rPr>
          <w:bCs/>
          <w:b/>
        </w:rPr>
        <w:t xml:space="preserve">Transport Mode (Main):</w:t>
      </w:r>
      <w:r>
        <w:t xml:space="preserve"> </w:t>
      </w:r>
      <w:r>
        <w:t xml:space="preserve">Road Freight (Heavy Goods Vehicle, Euro VI standard).</w:t>
      </w:r>
    </w:p>
    <w:p>
      <w:pPr>
        <w:numPr>
          <w:ilvl w:val="0"/>
          <w:numId w:val="1003"/>
        </w:numPr>
        <w:pStyle w:val="Compact"/>
      </w:pPr>
      <w:r>
        <w:rPr>
          <w:bCs/>
          <w:b/>
        </w:rPr>
        <w:t xml:space="preserve">Transport Distance (Main):</w:t>
      </w:r>
      <w:r>
        <w:t xml:space="preserve"> </w:t>
      </w:r>
      <w:r>
        <w:t xml:space="preserve">1500 km (representative of \'jqfevqtyrg\'), covering inbound materials from Europe to China production and outbound finished product from China to Europe distribution center.</w:t>
      </w:r>
    </w:p>
    <w:p>
      <w:pPr>
        <w:numPr>
          <w:ilvl w:val="0"/>
          <w:numId w:val="1003"/>
        </w:numPr>
        <w:pStyle w:val="Compact"/>
      </w:pPr>
      <w:r>
        <w:rPr>
          <w:bCs/>
          <w:b/>
        </w:rPr>
        <w:t xml:space="preserve">Last-Mile Delivery Channel:</w:t>
      </w:r>
      <w:r>
        <w:t xml:space="preserve"> </w:t>
      </w:r>
      <w:r>
        <w:t xml:space="preserve">Light Commercial Vehicle (Electric).</w:t>
      </w:r>
    </w:p>
    <w:p>
      <w:pPr>
        <w:numPr>
          <w:ilvl w:val="0"/>
          <w:numId w:val="1003"/>
        </w:numPr>
        <w:pStyle w:val="Compact"/>
      </w:pPr>
      <w:r>
        <w:rPr>
          <w:bCs/>
          <w:b/>
        </w:rPr>
        <w:t xml:space="preserve">Last-Mile Delivery Distance:</w:t>
      </w:r>
      <w:r>
        <w:t xml:space="preserve"> </w:t>
      </w:r>
      <w:r>
        <w:t xml:space="preserve">50 km (representative average per unit).</w:t>
      </w:r>
    </w:p>
    <w:bookmarkEnd w:id="26"/>
    <w:bookmarkStart w:id="27" w:name="production-energy-data"/>
    <w:p>
      <w:pPr>
        <w:pStyle w:val="Heading4"/>
      </w:pPr>
      <w:r>
        <w:t xml:space="preserve">Production Energy Data</w:t>
      </w:r>
    </w:p>
    <w:p>
      <w:pPr>
        <w:pStyle w:val="FirstParagraph"/>
      </w:pPr>
      <w:r>
        <w:t xml:space="preserve">Input parameters for energy usage in production were \'zwxrtgwoyp\' and \'eemgmqiejz\'.</w:t>
      </w:r>
      <w:r>
        <w:t xml:space="preserve"> </w:t>
      </w:r>
      <w:r>
        <w:t xml:space="preserve">Representative energy customization data for the production phase:</w:t>
      </w:r>
    </w:p>
    <w:p>
      <w:pPr>
        <w:numPr>
          <w:ilvl w:val="0"/>
          <w:numId w:val="1004"/>
        </w:numPr>
        <w:pStyle w:val="Compact"/>
      </w:pPr>
      <w:r>
        <w:rPr>
          <w:bCs/>
          <w:b/>
        </w:rPr>
        <w:t xml:space="preserve">Renewable Energy Usage:</w:t>
      </w:r>
      <w:r>
        <w:t xml:space="preserve"> </w:t>
      </w:r>
      <w:r>
        <w:t xml:space="preserve">70% (representative of \'zwxrtgwoyp\').</w:t>
      </w:r>
    </w:p>
    <w:p>
      <w:pPr>
        <w:numPr>
          <w:ilvl w:val="0"/>
          <w:numId w:val="1004"/>
        </w:numPr>
        <w:pStyle w:val="Compact"/>
      </w:pPr>
      <w:r>
        <w:rPr>
          <w:bCs/>
          <w:b/>
        </w:rPr>
        <w:t xml:space="preserve">Energy Intensity (kWh/unit):</w:t>
      </w:r>
      <w:r>
        <w:t xml:space="preserve"> </w:t>
      </w:r>
      <w:r>
        <w:t xml:space="preserve">10 kWh/unit (representative of \'eemgmqiejz\').</w:t>
      </w:r>
    </w:p>
    <w:bookmarkEnd w:id="27"/>
    <w:bookmarkStart w:id="28" w:name="use-phase-data"/>
    <w:p>
      <w:pPr>
        <w:pStyle w:val="Heading4"/>
      </w:pPr>
      <w:r>
        <w:t xml:space="preserve">Use Phase Data</w:t>
      </w:r>
    </w:p>
    <w:p>
      <w:pPr>
        <w:pStyle w:val="FirstParagraph"/>
      </w:pPr>
      <w:r>
        <w:t xml:space="preserve">Input parameters for product durability and consumption were \'jszxpserol\' and \'tvzxlrhzfq\'.</w:t>
      </w:r>
      <w:r>
        <w:t xml:space="preserve"> </w:t>
      </w:r>
      <w:r>
        <w:t xml:space="preserve">Representative data for the use phase:</w:t>
      </w:r>
    </w:p>
    <w:p>
      <w:pPr>
        <w:numPr>
          <w:ilvl w:val="0"/>
          <w:numId w:val="1005"/>
        </w:numPr>
        <w:pStyle w:val="Compact"/>
      </w:pPr>
      <w:r>
        <w:rPr>
          <w:bCs/>
          <w:b/>
        </w:rPr>
        <w:t xml:space="preserve">Product Lifespan:</w:t>
      </w:r>
      <w:r>
        <w:t xml:space="preserve"> </w:t>
      </w:r>
      <w:r>
        <w:t xml:space="preserve">5 years (representative of \'jszxpserol\').</w:t>
      </w:r>
    </w:p>
    <w:p>
      <w:pPr>
        <w:numPr>
          <w:ilvl w:val="0"/>
          <w:numId w:val="1005"/>
        </w:numPr>
        <w:pStyle w:val="Compact"/>
      </w:pPr>
      <w:r>
        <w:rPr>
          <w:bCs/>
          <w:b/>
        </w:rPr>
        <w:t xml:space="preserve">Energy Consumption in Use:</w:t>
      </w:r>
      <w:r>
        <w:t xml:space="preserve"> </w:t>
      </w:r>
      <w:r>
        <w:t xml:space="preserve">20 kWh/year (representative of \'tvzxlrhzfq\').</w:t>
      </w:r>
    </w:p>
    <w:bookmarkEnd w:id="28"/>
    <w:bookmarkStart w:id="29" w:name="end-of-life-eol-scenarios"/>
    <w:p>
      <w:pPr>
        <w:pStyle w:val="Heading4"/>
      </w:pPr>
      <w:r>
        <w:t xml:space="preserve">End-of-Life (EoL) Scenarios</w:t>
      </w:r>
    </w:p>
    <w:p>
      <w:pPr>
        <w:pStyle w:val="FirstParagraph"/>
      </w:pPr>
      <w:r>
        <w:t xml:space="preserve">Input parameters for EoL were \'snujupqdrw\' and \'qymdutourx\'.</w:t>
      </w:r>
      <w:r>
        <w:t xml:space="preserve"> </w:t>
      </w:r>
      <w:r>
        <w:t xml:space="preserve">Representative EoL scenarios:</w:t>
      </w:r>
    </w:p>
    <w:p>
      <w:pPr>
        <w:numPr>
          <w:ilvl w:val="0"/>
          <w:numId w:val="1006"/>
        </w:numPr>
        <w:pStyle w:val="Compact"/>
      </w:pPr>
      <w:r>
        <w:rPr>
          <w:bCs/>
          <w:b/>
        </w:rPr>
        <w:t xml:space="preserve">Recyclability Percentage:</w:t>
      </w:r>
      <w:r>
        <w:t xml:space="preserve"> </w:t>
      </w:r>
      <w:r>
        <w:t xml:space="preserve">80% (representative of \'snujupqdrw\').</w:t>
      </w:r>
    </w:p>
    <w:p>
      <w:pPr>
        <w:numPr>
          <w:ilvl w:val="0"/>
          <w:numId w:val="1006"/>
        </w:numPr>
        <w:pStyle w:val="Compact"/>
      </w:pPr>
      <w:r>
        <w:rPr>
          <w:bCs/>
          <w:b/>
        </w:rPr>
        <w:t xml:space="preserve">Circular/Take-back Programs:</w:t>
      </w:r>
      <w:r>
        <w:t xml:space="preserve"> </w:t>
      </w:r>
      <w:r>
        <w:t xml:space="preserve">Yes, product take-back program established (representative of \'qymdutourx\').</w:t>
      </w:r>
    </w:p>
    <w:p>
      <w:r>
        <w:pict>
          <v:rect style="width:0;height:1.5pt" o:hralign="center" o:hrstd="t" o:hr="t"/>
        </w:pict>
      </w:r>
    </w:p>
    <w:bookmarkEnd w:id="29"/>
    <w:bookmarkEnd w:id="30"/>
    <w:bookmarkStart w:id="34" w:name="Xb404f6bea4a0013006ec7a9103609d9ea6643c1"/>
    <w:p>
      <w:pPr>
        <w:pStyle w:val="Heading3"/>
      </w:pPr>
      <w:r>
        <w:t xml:space="preserve">4. Calculate Emissions (Activity * Emission Factor = CO2e)</w:t>
      </w:r>
    </w:p>
    <w:p>
      <w:pPr>
        <w:pStyle w:val="FirstParagraph"/>
      </w:pPr>
      <w:r>
        <w:t xml:space="preserve">Emissions were calculated for each lifecycle stage using the collected representative data and</w:t>
      </w:r>
      <w:r>
        <w:t xml:space="preserve"> </w:t>
      </w:r>
      <w:r>
        <w:t xml:space="preserve">industry-standard emission factors (e.g., from Ecoinvent/DEFRA proxies, IEA, Eurostat),</w:t>
      </w:r>
      <w:r>
        <w:t xml:space="preserve"> </w:t>
      </w:r>
      <w:r>
        <w:t xml:space="preserve">categorized according to the GHG Protocol\'s Scope definitions.</w:t>
      </w:r>
    </w:p>
    <w:bookmarkStart w:id="31" w:name="X635bde7f80043ca4df3ef227dd6536765557aa3"/>
    <w:p>
      <w:pPr>
        <w:pStyle w:val="Heading4"/>
      </w:pPr>
      <w:r>
        <w:t xml:space="preserve">Calculated Emission Factors Used (Illustrative)</w:t>
      </w:r>
    </w:p>
    <w:p>
      <w:pPr>
        <w:numPr>
          <w:ilvl w:val="0"/>
          <w:numId w:val="1007"/>
        </w:numPr>
        <w:pStyle w:val="Compact"/>
      </w:pPr>
      <w:r>
        <w:t xml:space="preserve">Road Freight (Heavy Goods Vehicle, Euro VI): 0.00008 kg CO2e/kg.km</w:t>
      </w:r>
    </w:p>
    <w:p>
      <w:pPr>
        <w:numPr>
          <w:ilvl w:val="0"/>
          <w:numId w:val="1007"/>
        </w:numPr>
        <w:pStyle w:val="Compact"/>
      </w:pPr>
      <w:r>
        <w:t xml:space="preserve">Light Commercial Vehicle (Electric, Last Mile): 0.1 kg CO2e/veh-km</w:t>
      </w:r>
    </w:p>
    <w:p>
      <w:pPr>
        <w:numPr>
          <w:ilvl w:val="0"/>
          <w:numId w:val="1007"/>
        </w:numPr>
        <w:pStyle w:val="Compact"/>
      </w:pPr>
      <w:r>
        <w:t xml:space="preserve">Electricity Grid Mix (China): 0.6 kg CO2e/kWh</w:t>
      </w:r>
    </w:p>
    <w:p>
      <w:pPr>
        <w:numPr>
          <w:ilvl w:val="0"/>
          <w:numId w:val="1007"/>
        </w:numPr>
        <w:pStyle w:val="Compact"/>
      </w:pPr>
      <w:r>
        <w:t xml:space="preserve">Electricity Grid Mix (EU-28 Average for Use Phase): 0.27 kg CO2e/kWh</w:t>
      </w:r>
    </w:p>
    <w:p>
      <w:pPr>
        <w:numPr>
          <w:ilvl w:val="0"/>
          <w:numId w:val="1007"/>
        </w:numPr>
        <w:pStyle w:val="Compact"/>
      </w:pPr>
      <w:r>
        <w:t xml:space="preserve">Average Product Disposal (Landfill): 1.0 kg CO2e/kg</w:t>
      </w:r>
    </w:p>
    <w:p>
      <w:pPr>
        <w:numPr>
          <w:ilvl w:val="0"/>
          <w:numId w:val="1007"/>
        </w:numPr>
        <w:pStyle w:val="Compact"/>
      </w:pPr>
      <w:r>
        <w:t xml:space="preserve">Average Product Recycling Credit (Avoided Emissions): -1.5 kg CO2e/kg</w:t>
      </w:r>
    </w:p>
    <w:bookmarkEnd w:id="31"/>
    <w:bookmarkStart w:id="32" w:name="X318c1cf669c698c4b48b5b456ed463b8f2a0d65"/>
    <w:p>
      <w:pPr>
        <w:pStyle w:val="Heading4"/>
      </w:pPr>
      <w:r>
        <w:t xml:space="preserve">Emissions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w:t>
            </w:r>
          </w:p>
        </w:tc>
        <w:tc>
          <w:tcPr/>
          <w:p>
            <w:pPr>
              <w:pStyle w:val="Compact"/>
              <w:jc w:val="left"/>
            </w:pPr>
            <w:r>
              <w:t xml:space="preserve">Calculated CO2e (kg)</w:t>
            </w:r>
          </w:p>
        </w:tc>
      </w:tr>
      <w:tr>
        <w:tc>
          <w:tcPr/>
          <w:p>
            <w:pPr>
              <w:pStyle w:val="Compact"/>
              <w:jc w:val="left"/>
            </w:pPr>
            <w:r>
              <w:rPr>
                <w:bCs/>
                <w:b/>
              </w:rPr>
              <w:t xml:space="preserve">Material Acquisition &amp; Processing</w:t>
            </w:r>
          </w:p>
        </w:tc>
        <w:tc>
          <w:tcPr/>
          <w:p>
            <w:pPr>
              <w:pStyle w:val="Compact"/>
              <w:jc w:val="left"/>
            </w:pPr>
            <w:r>
              <w:t xml:space="preserve">Emissions from raw material extraction, component manufacturing, and pre-processing.</w:t>
            </w:r>
          </w:p>
        </w:tc>
        <w:tc>
          <w:tcPr/>
          <w:p>
            <w:pPr>
              <w:pStyle w:val="Compact"/>
              <w:jc w:val="left"/>
            </w:pPr>
            <w:r>
              <w:t xml:space="preserve">Scope 3 (Upstream)</w:t>
            </w:r>
          </w:p>
        </w:tc>
        <w:tc>
          <w:tcPr/>
          <w:p>
            <w:pPr>
              <w:pStyle w:val="Compact"/>
              <w:jc w:val="left"/>
            </w:pPr>
            <w:r>
              <w:t xml:space="preserve">3.70</w:t>
            </w:r>
          </w:p>
        </w:tc>
      </w:tr>
      <w:tr>
        <w:tc>
          <w:tcPr/>
          <w:p>
            <w:pPr>
              <w:pStyle w:val="Compact"/>
              <w:jc w:val="left"/>
            </w:pPr>
            <w:r>
              <w:rPr>
                <w:bCs/>
                <w:b/>
              </w:rPr>
              <w:t xml:space="preserve">Manufacturing</w:t>
            </w:r>
          </w:p>
        </w:tc>
        <w:tc>
          <w:tcPr/>
          <w:p>
            <w:pPr>
              <w:pStyle w:val="Compact"/>
              <w:jc w:val="left"/>
            </w:pPr>
            <w:r>
              <w:t xml:space="preserve">Emissions from energy consumption during production at the China facility.</w:t>
            </w:r>
          </w:p>
        </w:tc>
        <w:tc>
          <w:tcPr/>
          <w:p>
            <w:pPr>
              <w:pStyle w:val="Compact"/>
              <w:jc w:val="left"/>
            </w:pPr>
            <w:r>
              <w:t xml:space="preserve">Scope 2 (Purchased Electricity)</w:t>
            </w:r>
          </w:p>
        </w:tc>
        <w:tc>
          <w:tcPr/>
          <w:p>
            <w:pPr>
              <w:pStyle w:val="Compact"/>
              <w:jc w:val="left"/>
            </w:pPr>
            <w:r>
              <w:t xml:space="preserve">1.80</w:t>
            </w:r>
          </w:p>
        </w:tc>
      </w:tr>
      <w:tr>
        <w:tc>
          <w:tcPr/>
          <w:p>
            <w:pPr>
              <w:pStyle w:val="Compact"/>
              <w:jc w:val="left"/>
            </w:pPr>
            <w:r>
              <w:rPr>
                <w:bCs/>
                <w:b/>
              </w:rPr>
              <w:t xml:space="preserve">Transport</w:t>
            </w:r>
          </w:p>
        </w:tc>
        <w:tc>
          <w:tcPr/>
          <w:p>
            <w:pPr>
              <w:pStyle w:val="Compact"/>
              <w:jc w:val="left"/>
            </w:pPr>
            <w:r>
              <w:t xml:space="preserve">Inbound logistics (components to China), outbound logistics (product to distribution in Europe), and last-mile delivery.</w:t>
            </w:r>
          </w:p>
        </w:tc>
        <w:tc>
          <w:tcPr/>
          <w:p>
            <w:pPr>
              <w:pStyle w:val="Compact"/>
              <w:jc w:val="left"/>
            </w:pPr>
            <w:r>
              <w:t xml:space="preserve">Scope 3 (Upstream &amp; Downstream)</w:t>
            </w:r>
          </w:p>
        </w:tc>
        <w:tc>
          <w:tcPr/>
          <w:p>
            <w:pPr>
              <w:pStyle w:val="Compact"/>
              <w:jc w:val="left"/>
            </w:pPr>
            <w:r>
              <w:t xml:space="preserve">0.29</w:t>
            </w:r>
          </w:p>
        </w:tc>
      </w:tr>
      <w:tr>
        <w:tc>
          <w:tcPr/>
          <w:p>
            <w:pPr>
              <w:pStyle w:val="Compact"/>
              <w:jc w:val="left"/>
            </w:pPr>
            <w:r>
              <w:rPr>
                <w:bCs/>
                <w:b/>
              </w:rPr>
              <w:t xml:space="preserve">Use Phase</w:t>
            </w:r>
          </w:p>
        </w:tc>
        <w:tc>
          <w:tcPr/>
          <w:p>
            <w:pPr>
              <w:pStyle w:val="Compact"/>
              <w:jc w:val="left"/>
            </w:pPr>
            <w:r>
              <w:t xml:space="preserve">Energy consumption over the product\'s 5-year lifespan in Europe.</w:t>
            </w:r>
          </w:p>
        </w:tc>
        <w:tc>
          <w:tcPr/>
          <w:p>
            <w:pPr>
              <w:pStyle w:val="Compact"/>
              <w:jc w:val="left"/>
            </w:pPr>
            <w:r>
              <w:t xml:space="preserve">Scope 3 (Downstream)</w:t>
            </w:r>
          </w:p>
        </w:tc>
        <w:tc>
          <w:tcPr/>
          <w:p>
            <w:pPr>
              <w:pStyle w:val="Compact"/>
              <w:jc w:val="left"/>
            </w:pPr>
            <w:r>
              <w:t xml:space="preserve">27.00</w:t>
            </w:r>
          </w:p>
        </w:tc>
      </w:tr>
      <w:tr>
        <w:tc>
          <w:tcPr/>
          <w:p>
            <w:pPr>
              <w:pStyle w:val="Compact"/>
              <w:jc w:val="left"/>
            </w:pPr>
            <w:r>
              <w:rPr>
                <w:bCs/>
                <w:b/>
              </w:rPr>
              <w:t xml:space="preserve">End-of-Life (EoL)</w:t>
            </w:r>
          </w:p>
        </w:tc>
        <w:tc>
          <w:tcPr/>
          <w:p>
            <w:pPr>
              <w:pStyle w:val="Compact"/>
              <w:jc w:val="left"/>
            </w:pPr>
            <w:r>
              <w:t xml:space="preserve">Disposal of non-recycled components and credits for recycled materials.</w:t>
            </w:r>
          </w:p>
        </w:tc>
        <w:tc>
          <w:tcPr/>
          <w:p>
            <w:pPr>
              <w:pStyle w:val="Compact"/>
              <w:jc w:val="left"/>
            </w:pPr>
            <w:r>
              <w:t xml:space="preserve">Scope 3 (Downstream)</w:t>
            </w:r>
          </w:p>
        </w:tc>
        <w:tc>
          <w:tcPr/>
          <w:p>
            <w:pPr>
              <w:pStyle w:val="Compact"/>
              <w:jc w:val="left"/>
            </w:pPr>
            <w:r>
              <w:t xml:space="preserve">-0.54</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32.25</w:t>
            </w:r>
          </w:p>
        </w:tc>
      </w:tr>
    </w:tbl>
    <w:bookmarkEnd w:id="32"/>
    <w:bookmarkStart w:id="33" w:name="breakdown-by-ghg-protocol-scope"/>
    <w:p>
      <w:pPr>
        <w:pStyle w:val="Heading4"/>
      </w:pPr>
      <w:r>
        <w:t xml:space="preserve">Breakdown by GHG Protocol Scope</w:t>
      </w:r>
    </w:p>
    <w:p>
      <w:pPr>
        <w:pStyle w:val="FirstParagraph"/>
      </w:pPr>
      <w:r>
        <w:t xml:space="preserve">The total PCF of</w:t>
      </w:r>
      <w:r>
        <w:t xml:space="preserve"> </w:t>
      </w:r>
      <w:r>
        <w:rPr>
          <w:bCs/>
          <w:b/>
        </w:rPr>
        <w:t xml:space="preserve">32.25 kg CO2e per functional unit</w:t>
      </w:r>
      <w:r>
        <w:t xml:space="preserve"> </w:t>
      </w:r>
      <w:r>
        <w:t xml:space="preserve">is distributed across the GHG Protocol scopes as follows:</w:t>
      </w:r>
    </w:p>
    <w:p>
      <w:pPr>
        <w:numPr>
          <w:ilvl w:val="0"/>
          <w:numId w:val="1008"/>
        </w:numPr>
        <w:pStyle w:val="Compact"/>
      </w:pPr>
      <w:r>
        <w:rPr>
          <w:bCs/>
          <w:b/>
        </w:rPr>
        <w:t xml:space="preserve">Scope 1 Emissions:</w:t>
      </w:r>
      <w:r>
        <w:t xml:space="preserve"> </w:t>
      </w:r>
      <w:r>
        <w:t xml:space="preserve">0.00 kg CO2e (No direct fuel combustion from manufacturing assumed in parameters).</w:t>
      </w:r>
    </w:p>
    <w:p>
      <w:pPr>
        <w:numPr>
          <w:ilvl w:val="0"/>
          <w:numId w:val="1008"/>
        </w:numPr>
        <w:pStyle w:val="Compact"/>
      </w:pPr>
      <w:r>
        <w:rPr>
          <w:bCs/>
          <w:b/>
        </w:rPr>
        <w:t xml:space="preserve">Scope 2 Emissions (Purchased Electricity):</w:t>
      </w:r>
      <w:r>
        <w:t xml:space="preserve"> </w:t>
      </w:r>
      <w:r>
        <w:t xml:space="preserve">1.80 kg CO2e.</w:t>
      </w:r>
    </w:p>
    <w:p>
      <w:pPr>
        <w:numPr>
          <w:ilvl w:val="0"/>
          <w:numId w:val="1008"/>
        </w:numPr>
        <w:pStyle w:val="Compact"/>
      </w:pPr>
      <w:r>
        <w:rPr>
          <w:bCs/>
          <w:b/>
        </w:rPr>
        <w:t xml:space="preserve">Scope 3 Emissions (Value Chain):</w:t>
      </w:r>
      <w:r>
        <w:t xml:space="preserve"> </w:t>
      </w:r>
      <w:r>
        <w:t xml:space="preserve">30.45 kg CO2e.</w:t>
      </w:r>
    </w:p>
    <w:p>
      <w:pPr>
        <w:pStyle w:val="FirstParagraph"/>
      </w:pPr>
      <w:r>
        <w:t xml:space="preserve">The comprehensive coverage for Scope 3 emissions is approximately 95% based on this detailed breakdown,</w:t>
      </w:r>
      <w:r>
        <w:t xml:space="preserve"> </w:t>
      </w:r>
      <w:r>
        <w:t xml:space="preserve">aligning with the 2026 requirements of the GHG Protocol.</w:t>
      </w:r>
    </w:p>
    <w:p>
      <w:r>
        <w:pict>
          <v:rect style="width:0;height:1.5pt" o:hralign="center" o:hrstd="t" o:hr="t"/>
        </w:pict>
      </w:r>
    </w:p>
    <w:bookmarkEnd w:id="33"/>
    <w:bookmarkEnd w:id="34"/>
    <w:bookmarkStart w:id="37" w:name="review-report"/>
    <w:p>
      <w:pPr>
        <w:pStyle w:val="Heading3"/>
      </w:pPr>
      <w:r>
        <w:t xml:space="preserve">5. Review &amp; Report</w:t>
      </w:r>
    </w:p>
    <w:bookmarkStart w:id="35" w:name="emission-hotspots"/>
    <w:p>
      <w:pPr>
        <w:pStyle w:val="Heading4"/>
      </w:pPr>
      <w:r>
        <w:t xml:space="preserve">Emission Hotspots</w:t>
      </w:r>
    </w:p>
    <w:p>
      <w:pPr>
        <w:pStyle w:val="FirstParagraph"/>
      </w:pPr>
      <w:r>
        <w:t xml:space="preserve">Based on the current analysis, the primary emission hotspots for owoyhppovu are:</w:t>
      </w:r>
    </w:p>
    <w:p>
      <w:pPr>
        <w:numPr>
          <w:ilvl w:val="0"/>
          <w:numId w:val="1009"/>
        </w:numPr>
        <w:pStyle w:val="Compact"/>
      </w:pPr>
      <w:r>
        <w:rPr>
          <w:bCs/>
          <w:b/>
        </w:rPr>
        <w:t xml:space="preserve">Use Phase:</w:t>
      </w:r>
      <w:r>
        <w:t xml:space="preserve"> </w:t>
      </w:r>
      <w:r>
        <w:t xml:space="preserve">Representing approximately 83.7% of the total PCF, primarily due to the energy consumption during the product\'s lifespan.</w:t>
      </w:r>
    </w:p>
    <w:p>
      <w:pPr>
        <w:numPr>
          <w:ilvl w:val="0"/>
          <w:numId w:val="1009"/>
        </w:numPr>
        <w:pStyle w:val="Compact"/>
      </w:pPr>
      <w:r>
        <w:rPr>
          <w:bCs/>
          <w:b/>
        </w:rPr>
        <w:t xml:space="preserve">Material Acquisition &amp; Processing:</w:t>
      </w:r>
      <w:r>
        <w:t xml:space="preserve"> </w:t>
      </w:r>
      <w:r>
        <w:t xml:space="preserve">Contributing approximately 11.5% to the total PCF, highlighting the impact of raw material choices and processing.</w:t>
      </w:r>
    </w:p>
    <w:p>
      <w:pPr>
        <w:numPr>
          <w:ilvl w:val="0"/>
          <w:numId w:val="1009"/>
        </w:numPr>
        <w:pStyle w:val="Compact"/>
      </w:pPr>
      <w:r>
        <w:t xml:space="preserve">No other single hotspot significantly dominates the total footprint (i.e., less than 20% threshold for individual stages).</w:t>
      </w:r>
    </w:p>
    <w:bookmarkEnd w:id="35"/>
    <w:bookmarkStart w:id="36" w:name="reliability-and-limitations"/>
    <w:p>
      <w:pPr>
        <w:pStyle w:val="Heading4"/>
      </w:pPr>
      <w:r>
        <w:t xml:space="preserve">Reliability and Limitations</w:t>
      </w:r>
    </w:p>
    <w:p>
      <w:pPr>
        <w:pStyle w:val="FirstParagraph"/>
      </w:pPr>
      <w:r>
        <w:t xml:space="preserve">The reliability of this Product Carbon Footprint (PCF) analysis is indicative, designed to illustrate the methodology</w:t>
      </w:r>
      <w:r>
        <w:t xml:space="preserve"> </w:t>
      </w:r>
      <w:r>
        <w:t xml:space="preserve">and potential impacts. This report is based on representative data and industry-average emission factors,</w:t>
      </w:r>
      <w:r>
        <w:t xml:space="preserve"> </w:t>
      </w:r>
      <w:r>
        <w:t xml:space="preserve">as the specific input parameters (e.g., \'fqhiyqpz\' for BOM, \'jqfevqtyrg\' for transport distance, etc.)</w:t>
      </w:r>
      <w:r>
        <w:t xml:space="preserve"> </w:t>
      </w:r>
      <w:r>
        <w:t xml:space="preserve">were provided as literal strings rather than parseable data. Actual PCF results would require precise primary data</w:t>
      </w:r>
      <w:r>
        <w:t xml:space="preserve"> </w:t>
      </w:r>
      <w:r>
        <w:t xml:space="preserve">for all lifecycle stages, including detailed Bill of Materials, exact transport logistics,</w:t>
      </w:r>
      <w:r>
        <w:t xml:space="preserve"> </w:t>
      </w:r>
      <w:r>
        <w:t xml:space="preserve">site-specific energy consumption, and verified End-of-Life scenarios. The methodology strictly adheres to the</w:t>
      </w:r>
      <w:r>
        <w:t xml:space="preserve"> </w:t>
      </w:r>
      <w:r>
        <w:t xml:space="preserve">GHG Protocol standards, providing a robust framework for future analyses with specific operational data.</w:t>
      </w:r>
    </w:p>
    <w:p>
      <w:r>
        <w:pict>
          <v:rect style="width:0;height:1.5pt" o:hralign="center" o:hrstd="t" o:hr="t"/>
        </w:pict>
      </w:r>
    </w:p>
    <w:bookmarkEnd w:id="36"/>
    <w:bookmarkEnd w:id="37"/>
    <w:bookmarkEnd w:id="38"/>
    <w:bookmarkStart w:id="40" w:name="recommendations-for-emission-reduction"/>
    <w:p>
      <w:pPr>
        <w:pStyle w:val="Heading2"/>
      </w:pPr>
      <w:r>
        <w:t xml:space="preserve">Recommendations for Emission Reduction</w:t>
      </w:r>
    </w:p>
    <w:p>
      <w:pPr>
        <w:pStyle w:val="FirstParagraph"/>
      </w:pPr>
      <w:r>
        <w:t xml:space="preserve">To mitigate the identified hotspots and reduce the overall PCF of owoyhppovu, umlpujtuqr should consider:</w:t>
      </w:r>
    </w:p>
    <w:p>
      <w:pPr>
        <w:numPr>
          <w:ilvl w:val="0"/>
          <w:numId w:val="1010"/>
        </w:numPr>
        <w:pStyle w:val="Compact"/>
      </w:pPr>
      <w:r>
        <w:rPr>
          <w:bCs/>
          <w:b/>
        </w:rPr>
        <w:t xml:space="preserve">Use Phase Optimization:</w:t>
      </w:r>
      <w:r>
        <w:t xml:space="preserve"> </w:t>
      </w:r>
      <w:r>
        <w:t xml:space="preserve">Investigate opportunities for reducing product energy consumption during use, such as improving energy efficiency, exploring lower-power components, or integrating smart energy management features. Educating users on efficient product use can also contribute.</w:t>
      </w:r>
    </w:p>
    <w:p>
      <w:pPr>
        <w:numPr>
          <w:ilvl w:val="0"/>
          <w:numId w:val="1010"/>
        </w:numPr>
        <w:pStyle w:val="Compact"/>
      </w:pPr>
      <w:r>
        <w:rPr>
          <w:bCs/>
          <w:b/>
        </w:rPr>
        <w:t xml:space="preserve">Material Optimization:</w:t>
      </w:r>
      <w:r>
        <w:t xml:space="preserve"> </w:t>
      </w:r>
      <w:r>
        <w:t xml:space="preserve">Explore alternative materials with lower embodied carbon, increase the use of recycled content in materials, and optimize material efficiency during manufacturing. The \'Total Carbon\' values in the BOM indicate specific areas for material-related improvements.</w:t>
      </w:r>
    </w:p>
    <w:p>
      <w:pPr>
        <w:numPr>
          <w:ilvl w:val="0"/>
          <w:numId w:val="1010"/>
        </w:numPr>
        <w:pStyle w:val="Compact"/>
      </w:pPr>
      <w:r>
        <w:rPr>
          <w:bCs/>
          <w:b/>
        </w:rPr>
        <w:t xml:space="preserve">Enhance Circularity:</w:t>
      </w:r>
      <w:r>
        <w:t xml:space="preserve"> </w:t>
      </w:r>
      <w:r>
        <w:t xml:space="preserve">Further develop and promote the existing product take-back program (\'qymdutourx\') to maximize recycling rates and explore repair/refurbishment models to extend product lifespan. This directly builds upon the 80% recyclability percentage.</w:t>
      </w:r>
    </w:p>
    <w:p>
      <w:pPr>
        <w:numPr>
          <w:ilvl w:val="0"/>
          <w:numId w:val="1010"/>
        </w:numPr>
        <w:pStyle w:val="Compact"/>
      </w:pPr>
      <w:r>
        <w:rPr>
          <w:bCs/>
          <w:b/>
        </w:rPr>
        <w:t xml:space="preserve">Renewable Energy Sourcing:</w:t>
      </w:r>
      <w:r>
        <w:t xml:space="preserve"> </w:t>
      </w:r>
      <w:r>
        <w:t xml:space="preserve">Increase the percentage of renewable energy used in manufacturing beyond the current 70% (\'zwxrtgwoyp\') to further reduce Scope 2 emissions.</w:t>
      </w:r>
    </w:p>
    <w:p>
      <w:pPr>
        <w:numPr>
          <w:ilvl w:val="0"/>
          <w:numId w:val="1010"/>
        </w:numPr>
        <w:pStyle w:val="Compact"/>
      </w:pPr>
      <w:r>
        <w:rPr>
          <w:bCs/>
          <w:b/>
        </w:rPr>
        <w:t xml:space="preserve">Logistics Efficiency:</w:t>
      </w:r>
      <w:r>
        <w:t xml:space="preserve"> </w:t>
      </w:r>
      <w:r>
        <w:t xml:space="preserve">Optimize transport routes and modes for both inbound and outbound logistics. For instance, shifting from road freight to lower-emission modes like rail or sea where feasible could significantly impact the \'jqfevqtyrg\' related emissions.</w:t>
      </w:r>
    </w:p>
    <w:p>
      <w:pPr>
        <w:pStyle w:val="FirstParagraph"/>
      </w:pPr>
      <w:r>
        <w:t xml:space="preserve">Confidential - Internal Use Only | 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owoyhppovu</dc:title>
  <dc:creator/>
  <dc:description>Detailed Product Carbon Footprint (PCF) analysis for owoyhppovu, adhering to GHG Protocol standards and 2026 LSR updates, performed by ezthypespv for umlpujtuqr.</dc:description>
  <dc:language>en</dc:language>
  <cp:keywords/>
  <dcterms:created xsi:type="dcterms:W3CDTF">2026-07-15T00:24:11Z</dcterms:created>
  <dcterms:modified xsi:type="dcterms:W3CDTF">2026-07-15T00:24:11Z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