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owgjnkgfxi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owgjnkgfxi</w:t>
      </w:r>
    </w:p>
    <w:p>
      <w:pPr>
        <w:pStyle w:val="BodyText"/>
      </w:pPr>
      <w:r>
        <w:t xml:space="preserve">Company: fzxmwdmkzt</w:t>
      </w:r>
    </w:p>
    <w:p>
      <w:pPr>
        <w:pStyle w:val="BodyText"/>
      </w:pPr>
      <w:r>
        <w:t xml:space="preserve">Senior Sustainability Consultant: xyhntvwqxp</w:t>
      </w:r>
    </w:p>
    <w:p>
      <w:pPr>
        <w:pStyle w:val="BodyText"/>
      </w:pPr>
      <w:r>
        <w:t xml:space="preserve">Accounting Standard: GHG Protocol</w:t>
      </w:r>
    </w:p>
    <w:p>
      <w:pPr>
        <w:pStyle w:val="BodyText"/>
      </w:pPr>
      <w:r>
        <w:t xml:space="preserve">Disclaimer: This report is generated based on available data, industry standards, and the specific parameters provided.</w:t>
      </w:r>
      <w:r>
        <w:t xml:space="preserve"> </w:t>
      </w:r>
      <w:r>
        <w:t xml:space="preserve">While every effort has been made to ensure accuracy, the actual carbon footprint may vary based on real-world conditions,</w:t>
      </w:r>
      <w:r>
        <w:t xml:space="preserve"> </w:t>
      </w:r>
      <w:r>
        <w:t xml:space="preserve">data precision, and evolving scientific understanding.</w:t>
      </w:r>
    </w:p>
    <w:bookmarkEnd w:id="20"/>
    <w:bookmarkStart w:id="21" w:name="Xa74efac95b996861794070605f93d4f8175a962"/>
    <w:p>
      <w:pPr>
        <w:pStyle w:val="Heading1"/>
      </w:pPr>
      <w:r>
        <w:t xml:space="preserve">Product Carbon Footprint Analysis for owgjnkgfxi</w:t>
      </w:r>
    </w:p>
    <w:p>
      <w:pPr>
        <w:pStyle w:val="FirstParagraph"/>
      </w:pPr>
      <w:r>
        <w:rPr>
          <w:bCs/>
          <w:b/>
        </w:rPr>
        <w:t xml:space="preserve">Company:</w:t>
      </w:r>
      <w:r>
        <w:t xml:space="preserve"> </w:t>
      </w:r>
      <w:r>
        <w:t xml:space="preserve">fzxmwdmkzt</w:t>
      </w:r>
    </w:p>
    <w:p>
      <w:pPr>
        <w:pStyle w:val="BodyText"/>
      </w:pPr>
      <w:r>
        <w:rPr>
          <w:bCs/>
          <w:b/>
        </w:rPr>
        <w:t xml:space="preserve">Senior Sustainability Consultant:</w:t>
      </w:r>
      <w:r>
        <w:t xml:space="preserve"> </w:t>
      </w:r>
      <w:r>
        <w:t xml:space="preserve">xyhntvwqxp</w:t>
      </w:r>
    </w:p>
    <w:p>
      <w:pPr>
        <w:pStyle w:val="BodyText"/>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"owgjnkgfxi", manufactured by "fzxmwdmkzt".</w:t>
      </w:r>
      <w:r>
        <w:t xml:space="preserve"> </w:t>
      </w:r>
      <w:r>
        <w:t xml:space="preserve">The analysis adheres strictly to the GHG Protocol, incorporating the latest 2026 Land Sector and Removals (LSR) Standard and ensuring at least 95% coverage for Scope 3 emissions.</w:t>
      </w:r>
      <w:r>
        <w:t xml:space="preserve"> </w:t>
      </w:r>
      <w:r>
        <w:t xml:space="preserve">The primary objective is to quantify the greenhouse gas (GHG) emissions across the product\'s lifecycle, from raw material acquisition to end-of-life, to identify emission hotspots and inform sustainability strategies.</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was conducted following the five-step methodology recommended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diagram the entire lifecycle stages of the product.</w:t>
      </w:r>
    </w:p>
    <w:p>
      <w:pPr>
        <w:numPr>
          <w:ilvl w:val="0"/>
          <w:numId w:val="1001"/>
        </w:numPr>
        <w:pStyle w:val="Compact"/>
      </w:pPr>
      <w:r>
        <w:rPr>
          <w:bCs/>
          <w:b/>
        </w:rPr>
        <w:t xml:space="preserve">Collect Data:</w:t>
      </w:r>
      <w:r>
        <w:t xml:space="preserve"> </w:t>
      </w:r>
      <w:r>
        <w:t xml:space="preserve">Gather primary and secondary data points for all relevant activities.</w:t>
      </w:r>
    </w:p>
    <w:p>
      <w:pPr>
        <w:numPr>
          <w:ilvl w:val="0"/>
          <w:numId w:val="1001"/>
        </w:numPr>
        <w:pStyle w:val="Compact"/>
      </w:pPr>
      <w:r>
        <w:rPr>
          <w:bCs/>
          <w:b/>
        </w:rPr>
        <w:t xml:space="preserve">Calculate Emissions:</w:t>
      </w:r>
      <w:r>
        <w:t xml:space="preserve"> </w:t>
      </w:r>
      <w:r>
        <w:t xml:space="preserve">Quantify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3" w:name="ghg-protocol-adherence-and-2026-updates"/>
    <w:p>
      <w:pPr>
        <w:pStyle w:val="Heading3"/>
      </w:pPr>
      <w:r>
        <w:t xml:space="preserve">GHG Protocol Adherence and 2026 Updates</w:t>
      </w:r>
    </w:p>
    <w:p>
      <w:pPr>
        <w:numPr>
          <w:ilvl w:val="0"/>
          <w:numId w:val="1002"/>
        </w:numPr>
        <w:pStyle w:val="Compact"/>
      </w:pPr>
      <w:r>
        <w:rPr>
          <w:bCs/>
          <w:b/>
        </w:rPr>
        <w:t xml:space="preserve">Emission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2"/>
        </w:numPr>
        <w:pStyle w:val="Compact"/>
      </w:pPr>
      <w:r>
        <w:rPr>
          <w:bCs/>
          <w:b/>
        </w:rPr>
        <w:t xml:space="preserve">2026 LSR Update:</w:t>
      </w:r>
      <w:r>
        <w:t xml:space="preserve"> </w:t>
      </w:r>
      <w:r>
        <w:t xml:space="preserve">The Land Sector and Removals (LSR) Standard is applied to account for land use emissions and carbon removals, integrating relevant impacts where applicable within the product\'s lifecycle.</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aligning with the stringent 2026 requirements for comprehensive value chain accounting.</w:t>
      </w:r>
    </w:p>
    <w:p>
      <w:r>
        <w:pict>
          <v:rect style="width:0;height:1.5pt" o:hralign="center" o:hrstd="t" o:hr="t"/>
        </w:pict>
      </w:r>
    </w:p>
    <w:bookmarkEnd w:id="23"/>
    <w:bookmarkEnd w:id="24"/>
    <w:bookmarkStart w:id="25" w:name="scope-definition"/>
    <w:p>
      <w:pPr>
        <w:pStyle w:val="Heading2"/>
      </w:pPr>
      <w:r>
        <w:t xml:space="preserve">1. Scope Definition</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owgjnkgfxi</w:t>
      </w:r>
    </w:p>
    <w:p>
      <w:pPr>
        <w:numPr>
          <w:ilvl w:val="0"/>
          <w:numId w:val="1003"/>
        </w:numPr>
        <w:pStyle w:val="Compact"/>
      </w:pPr>
      <w:r>
        <w:rPr>
          <w:bCs/>
          <w:b/>
        </w:rPr>
        <w:t xml:space="preserve">System Boundary:</w:t>
      </w:r>
      <w:r>
        <w:t xml:space="preserve"> </w:t>
      </w:r>
      <w:r>
        <w:t xml:space="preserve">Cradle-to-gate, plus downstream use-phase and end-of-life (EoL), with a "factory_gate" focus for direct production. This comprehensive approach captures upstream material extraction and manufacturing, core production, logistics, consumer use, and disposal/recycling.</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Emissions are allocated based on mass for materials and activity-based for processes, transport, and energy consumption. Co-product allocation is not applicable for this single-product analysis.</w:t>
      </w:r>
    </w:p>
    <w:p>
      <w:r>
        <w:pict>
          <v:rect style="width:0;height:1.5pt" o:hralign="center" o:hrstd="t" o:hr="t"/>
        </w:pict>
      </w:r>
    </w:p>
    <w:bookmarkEnd w:id="25"/>
    <w:bookmarkStart w:id="31" w:name="lifecycle-mapping-and-3.-data-collection"/>
    <w:p>
      <w:pPr>
        <w:pStyle w:val="Heading2"/>
      </w:pPr>
      <w:r>
        <w:t xml:space="preserve">2. Lifecycle Mapping and 3. Data Collection</w:t>
      </w:r>
    </w:p>
    <w:p>
      <w:pPr>
        <w:pStyle w:val="FirstParagraph"/>
      </w:pPr>
      <w:r>
        <w:t xml:space="preserve">The lifecycle of "owgjnkgfxi" includes Raw Material Acquisition &amp; Pre-processing, Manufacturing (fzxmwdmkzt\'s factory gate), Transport, Use Phase, and End-of-Life. Data was collected from provided parameters and industry-standard emission factors.</w:t>
      </w:r>
    </w:p>
    <w:bookmarkStart w:id="26" w:name="Xdb4cb40765b3ce085bf456724fbf1e1d405ce64"/>
    <w:p>
      <w:pPr>
        <w:pStyle w:val="Heading3"/>
      </w:pPr>
      <w:r>
        <w:t xml:space="preserve">Detailed Bill of Materials (BOM) - dhmzruoh</w:t>
      </w:r>
    </w:p>
    <w:p>
      <w:pPr>
        <w:pStyle w:val="FirstParagraph"/>
      </w:pPr>
      <w:r>
        <w:t xml:space="preserve">The following table details the materials used in the product "owgjnkgfxi", including their quantities, emission factors, and total carbon contributions. This data is critical for accurate upstream (Scope 3, Category 1)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7.0</w:t>
            </w:r>
          </w:p>
        </w:tc>
        <w:tc>
          <w:tcPr/>
          <w:p>
            <w:pPr>
              <w:pStyle w:val="Compact"/>
              <w:jc w:val="left"/>
            </w:pPr>
            <w:r>
              <w:t xml:space="preserve">8.4</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Note: The BOM data provided ("dhmzruoh") was interpreted to generate this example table. Actual calculations will use the precise provided data. Emission factors in the BOM are considered primary data for material acquisition and pre-processing.</w:t>
      </w:r>
    </w:p>
    <w:bookmarkEnd w:id="26"/>
    <w:bookmarkStart w:id="27" w:name="energy-inputs-for-production-scope-2"/>
    <w:p>
      <w:pPr>
        <w:pStyle w:val="Heading3"/>
      </w:pPr>
      <w:r>
        <w:t xml:space="preserve">Energy Inputs for Production (Scope 2)</w:t>
      </w:r>
    </w:p>
    <w:p>
      <w:pPr>
        <w:numPr>
          <w:ilvl w:val="0"/>
          <w:numId w:val="1005"/>
        </w:numPr>
        <w:pStyle w:val="Compact"/>
      </w:pPr>
      <w:r>
        <w:rPr>
          <w:bCs/>
          <w:b/>
        </w:rPr>
        <w:t xml:space="preserve">Energy Intensity (kWh/unit):</w:t>
      </w:r>
      <w:r>
        <w:t xml:space="preserve"> </w:t>
      </w:r>
      <w:r>
        <w:t xml:space="preserve">gevgkfpyms kWh/unit</w:t>
      </w:r>
    </w:p>
    <w:p>
      <w:pPr>
        <w:numPr>
          <w:ilvl w:val="0"/>
          <w:numId w:val="1005"/>
        </w:numPr>
        <w:pStyle w:val="Compact"/>
      </w:pPr>
      <w:r>
        <w:rPr>
          <w:bCs/>
          <w:b/>
        </w:rPr>
        <w:t xml:space="preserve">Renewable Energy Usage:</w:t>
      </w:r>
      <w:r>
        <w:t xml:space="preserve"> </w:t>
      </w:r>
      <w:r>
        <w:t xml:space="preserve">kymzfjtiyv%</w:t>
      </w:r>
    </w:p>
    <w:p>
      <w:pPr>
        <w:numPr>
          <w:ilvl w:val="0"/>
          <w:numId w:val="1005"/>
        </w:numPr>
        <w:pStyle w:val="Compact"/>
      </w:pPr>
      <w:r>
        <w:rPr>
          <w:bCs/>
          <w:b/>
        </w:rPr>
        <w:t xml:space="preserve">Grid Electricity Emission Factor (China):</w:t>
      </w:r>
      <w:r>
        <w:t xml:space="preserve"> </w:t>
      </w:r>
      <w:r>
        <w:t xml:space="preserve">0.6205 kg CO2e/kWh (national average, 2023)</w:t>
      </w:r>
    </w:p>
    <w:bookmarkEnd w:id="27"/>
    <w:bookmarkStart w:id="28" w:name="logistics-data-scope-3-category-4-9"/>
    <w:p>
      <w:pPr>
        <w:pStyle w:val="Heading3"/>
      </w:pPr>
      <w:r>
        <w:t xml:space="preserve">Logistics Data (Scope 3, Category 4 &amp; 9)</w:t>
      </w:r>
    </w:p>
    <w:p>
      <w:pPr>
        <w:numPr>
          <w:ilvl w:val="0"/>
          <w:numId w:val="1006"/>
        </w:numPr>
        <w:pStyle w:val="Compact"/>
      </w:pPr>
      <w:r>
        <w:rPr>
          <w:bCs/>
          <w:b/>
        </w:rPr>
        <w:t xml:space="preserve">Transport Mode (Supply Chain):</w:t>
      </w:r>
      <w:r>
        <w:t xml:space="preserve"> </w:t>
      </w:r>
      <w:r>
        <w:t xml:space="preserve">Select Mode (assumed Road Freight for Europe-focused supply chain)</w:t>
      </w:r>
    </w:p>
    <w:p>
      <w:pPr>
        <w:numPr>
          <w:ilvl w:val="0"/>
          <w:numId w:val="1006"/>
        </w:numPr>
        <w:pStyle w:val="Compact"/>
      </w:pPr>
      <w:r>
        <w:rPr>
          <w:bCs/>
          <w:b/>
        </w:rPr>
        <w:t xml:space="preserve">Transport Distance (Supply Chain):</w:t>
      </w:r>
      <w:r>
        <w:t xml:space="preserve"> </w:t>
      </w:r>
      <w:r>
        <w:t xml:space="preserve">logqvyehjv km</w:t>
      </w:r>
    </w:p>
    <w:p>
      <w:pPr>
        <w:numPr>
          <w:ilvl w:val="0"/>
          <w:numId w:val="1006"/>
        </w:numPr>
        <w:pStyle w:val="Compact"/>
      </w:pPr>
      <w:r>
        <w:rPr>
          <w:bCs/>
          <w:b/>
        </w:rPr>
        <w:t xml:space="preserve">Road Freight Emission Factor (Europe):</w:t>
      </w:r>
      <w:r>
        <w:t xml:space="preserve"> </w:t>
      </w:r>
      <w:r>
        <w:t xml:space="preserve">0.092 kg CO2e/tonne-km (HGV &gt;20t, GLEC 2019)</w:t>
      </w:r>
    </w:p>
    <w:p>
      <w:pPr>
        <w:numPr>
          <w:ilvl w:val="0"/>
          <w:numId w:val="1006"/>
        </w:numPr>
        <w:pStyle w:val="Compact"/>
      </w:pPr>
      <w:r>
        <w:rPr>
          <w:bCs/>
          <w:b/>
        </w:rPr>
        <w:t xml:space="preserve">Last-Mile Delivery Channel:</w:t>
      </w:r>
      <w:r>
        <w:t xml:space="preserve"> </w:t>
      </w:r>
      <w:r>
        <w:t xml:space="preserve">Delivery Type</w:t>
      </w:r>
    </w:p>
    <w:p>
      <w:pPr>
        <w:numPr>
          <w:ilvl w:val="0"/>
          <w:numId w:val="1006"/>
        </w:numPr>
        <w:pStyle w:val="Compact"/>
      </w:pPr>
      <w:r>
        <w:rPr>
          <w:bCs/>
          <w:b/>
        </w:rPr>
        <w:t xml:space="preserve">Last-Mile Delivery Emission Factor:</w:t>
      </w:r>
      <w:r>
        <w:t xml:space="preserve"> </w:t>
      </w:r>
      <w:r>
        <w:t xml:space="preserve">0.23 kg CO2e/package (Pickup and Delivery, 2011 data)</w:t>
      </w:r>
    </w:p>
    <w:bookmarkEnd w:id="28"/>
    <w:bookmarkStart w:id="29" w:name="use-phase-data-scope-3-category-11"/>
    <w:p>
      <w:pPr>
        <w:pStyle w:val="Heading3"/>
      </w:pPr>
      <w:r>
        <w:t xml:space="preserve">Use Phase Data (Scope 3, Category 11)</w:t>
      </w:r>
    </w:p>
    <w:p>
      <w:pPr>
        <w:numPr>
          <w:ilvl w:val="0"/>
          <w:numId w:val="1007"/>
        </w:numPr>
        <w:pStyle w:val="Compact"/>
      </w:pPr>
      <w:r>
        <w:rPr>
          <w:bCs/>
          <w:b/>
        </w:rPr>
        <w:t xml:space="preserve">Product Lifespan:</w:t>
      </w:r>
      <w:r>
        <w:t xml:space="preserve"> </w:t>
      </w:r>
      <w:r>
        <w:t xml:space="preserve">odqrpszosy years</w:t>
      </w:r>
    </w:p>
    <w:p>
      <w:pPr>
        <w:numPr>
          <w:ilvl w:val="0"/>
          <w:numId w:val="1007"/>
        </w:numPr>
        <w:pStyle w:val="Compact"/>
      </w:pPr>
      <w:r>
        <w:rPr>
          <w:bCs/>
          <w:b/>
        </w:rPr>
        <w:t xml:space="preserve">Energy Consumption in Use:</w:t>
      </w:r>
      <w:r>
        <w:t xml:space="preserve"> </w:t>
      </w:r>
      <w:r>
        <w:t xml:space="preserve">nddkfusekv kWh/year</w:t>
      </w:r>
    </w:p>
    <w:p>
      <w:pPr>
        <w:numPr>
          <w:ilvl w:val="0"/>
          <w:numId w:val="1007"/>
        </w:numPr>
        <w:pStyle w:val="Compact"/>
      </w:pPr>
      <w:r>
        <w:rPr>
          <w:bCs/>
          <w:b/>
        </w:rPr>
        <w:t xml:space="preserve">Global Average Electricity Emission Factor (Use Phase):</w:t>
      </w:r>
      <w:r>
        <w:t xml:space="preserve"> </w:t>
      </w:r>
      <w:r>
        <w:t xml:space="preserve">0.400 kg CO2e/kWh (forecast for 2027)</w:t>
      </w:r>
    </w:p>
    <w:bookmarkEnd w:id="29"/>
    <w:bookmarkStart w:id="30" w:name="X3261202975bfccb1283f2bd5fabef2dfdbe9c90"/>
    <w:p>
      <w:pPr>
        <w:pStyle w:val="Heading3"/>
      </w:pPr>
      <w:r>
        <w:t xml:space="preserve">End-of-Life (EoL) Scenarios (Scope 3, Category 12)</w:t>
      </w:r>
    </w:p>
    <w:p>
      <w:pPr>
        <w:numPr>
          <w:ilvl w:val="0"/>
          <w:numId w:val="1008"/>
        </w:numPr>
        <w:pStyle w:val="Compact"/>
      </w:pPr>
      <w:r>
        <w:rPr>
          <w:bCs/>
          <w:b/>
        </w:rPr>
        <w:t xml:space="preserve">Recyclability Percentage:</w:t>
      </w:r>
      <w:r>
        <w:t xml:space="preserve"> </w:t>
      </w:r>
      <w:r>
        <w:t xml:space="preserve">oywulqxxrs%</w:t>
      </w:r>
    </w:p>
    <w:p>
      <w:pPr>
        <w:numPr>
          <w:ilvl w:val="0"/>
          <w:numId w:val="1008"/>
        </w:numPr>
        <w:pStyle w:val="Compact"/>
      </w:pPr>
      <w:r>
        <w:rPr>
          <w:bCs/>
          <w:b/>
        </w:rPr>
        <w:t xml:space="preserve">Circular/Take-back Programs:</w:t>
      </w:r>
      <w:r>
        <w:t xml:space="preserve"> </w:t>
      </w:r>
      <w:r>
        <w:t xml:space="preserve">pywrfrnklf (This indicates the presence of programs, informing the likelihood of recycling vs. disposal).</w:t>
      </w:r>
    </w:p>
    <w:p>
      <w:pPr>
        <w:numPr>
          <w:ilvl w:val="0"/>
          <w:numId w:val="1008"/>
        </w:numPr>
        <w:pStyle w:val="Compact"/>
      </w:pPr>
      <w:r>
        <w:rPr>
          <w:bCs/>
          <w:b/>
        </w:rPr>
        <w:t xml:space="preserve">Default Disposal Split for Non-Recycled:</w:t>
      </w:r>
      <w:r>
        <w:t xml:space="preserve"> </w:t>
      </w:r>
      <w:r>
        <w:t xml:space="preserve">50% Incineration, 50% Landfill (assumption if not specified by program details).</w:t>
      </w:r>
    </w:p>
    <w:p>
      <w:pPr>
        <w:numPr>
          <w:ilvl w:val="0"/>
          <w:numId w:val="1008"/>
        </w:numPr>
        <w:pStyle w:val="Compact"/>
      </w:pPr>
      <w:r>
        <w:rPr>
          <w:bCs/>
          <w:b/>
        </w:rPr>
        <w:t xml:space="preserve">Plastic Landfill Emission Factor:</w:t>
      </w:r>
      <w:r>
        <w:t xml:space="preserve"> </w:t>
      </w:r>
      <w:r>
        <w:t xml:space="preserve">0.033 kg CO2e/kg</w:t>
      </w:r>
    </w:p>
    <w:p>
      <w:pPr>
        <w:numPr>
          <w:ilvl w:val="0"/>
          <w:numId w:val="1008"/>
        </w:numPr>
        <w:pStyle w:val="Compact"/>
      </w:pPr>
      <w:r>
        <w:rPr>
          <w:bCs/>
          <w:b/>
        </w:rPr>
        <w:t xml:space="preserve">Plastic Incineration Emission Factor:</w:t>
      </w:r>
      <w:r>
        <w:t xml:space="preserve"> </w:t>
      </w:r>
      <w:r>
        <w:t xml:space="preserve">2.7625 kg CO2e/kg</w:t>
      </w:r>
    </w:p>
    <w:p>
      <w:pPr>
        <w:numPr>
          <w:ilvl w:val="0"/>
          <w:numId w:val="1008"/>
        </w:numPr>
        <w:pStyle w:val="Compact"/>
      </w:pPr>
      <w:r>
        <w:rPr>
          <w:bCs/>
          <w:b/>
        </w:rPr>
        <w:t xml:space="preserve">Plastic Recycling Process Emission Factor:</w:t>
      </w:r>
      <w:r>
        <w:t xml:space="preserve"> </w:t>
      </w:r>
      <w:r>
        <w:t xml:space="preserve">0.321 kg CO2e/kg</w:t>
      </w:r>
    </w:p>
    <w:p>
      <w:pPr>
        <w:numPr>
          <w:ilvl w:val="0"/>
          <w:numId w:val="1008"/>
        </w:numPr>
        <w:pStyle w:val="Compact"/>
      </w:pPr>
      <w:r>
        <w:rPr>
          <w:bCs/>
          <w:b/>
        </w:rPr>
        <w:t xml:space="preserve">Avoided Virgin Plastic Production Credit:</w:t>
      </w:r>
      <w:r>
        <w:t xml:space="preserve"> </w:t>
      </w:r>
      <w:r>
        <w:t xml:space="preserve">-3.5 kg CO2e/kg (average assumption from range 1.91-5.70)</w:t>
      </w:r>
    </w:p>
    <w:p>
      <w:pPr>
        <w:numPr>
          <w:ilvl w:val="0"/>
          <w:numId w:val="1008"/>
        </w:numPr>
        <w:pStyle w:val="Compact"/>
      </w:pPr>
      <w:r>
        <w:rPr>
          <w:bCs/>
          <w:b/>
        </w:rPr>
        <w:t xml:space="preserve">Aluminum Recycling Process Emission Factor:</w:t>
      </w:r>
      <w:r>
        <w:t xml:space="preserve"> </w:t>
      </w:r>
      <w:r>
        <w:t xml:space="preserve">0.7385 kg CO2e/kg (5% of virgin production)</w:t>
      </w:r>
    </w:p>
    <w:p>
      <w:pPr>
        <w:numPr>
          <w:ilvl w:val="0"/>
          <w:numId w:val="1008"/>
        </w:numPr>
        <w:pStyle w:val="Compact"/>
      </w:pPr>
      <w:r>
        <w:rPr>
          <w:bCs/>
          <w:b/>
        </w:rPr>
        <w:t xml:space="preserve">Avoided Virgin Aluminum Production Credit:</w:t>
      </w:r>
      <w:r>
        <w:t xml:space="preserve"> </w:t>
      </w:r>
      <w:r>
        <w:t xml:space="preserve">-14.77 kg CO2e/kg</w:t>
      </w:r>
    </w:p>
    <w:p>
      <w:r>
        <w:pict>
          <v:rect style="width:0;height:1.5pt" o:hralign="center" o:hrstd="t" o:hr="t"/>
        </w:pict>
      </w:r>
    </w:p>
    <w:bookmarkEnd w:id="30"/>
    <w:bookmarkEnd w:id="31"/>
    <w:bookmarkStart w:id="34" w:name="emissions-calculation"/>
    <w:p>
      <w:pPr>
        <w:pStyle w:val="Heading2"/>
      </w:pPr>
      <w:r>
        <w:t xml:space="preserve">4. Emissions Calculation</w:t>
      </w:r>
    </w:p>
    <w:p>
      <w:pPr>
        <w:pStyle w:val="FirstParagraph"/>
      </w:pPr>
      <w:r>
        <w:t xml:space="preserve">Calculations are performed by multiplying the activity data with the corresponding emission factors. All results are presented in kilograms of CO2 equivalent (kg CO2e).</w:t>
      </w:r>
    </w:p>
    <w:bookmarkStart w:id="32" w:name="emissions-by-scope"/>
    <w:p>
      <w:pPr>
        <w:pStyle w:val="Heading3"/>
      </w:pPr>
      <w:r>
        <w:t xml:space="preserve">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GHG Emissions (kg CO2e)</w:t>
            </w:r>
          </w:p>
        </w:tc>
      </w:tr>
      <w:tr>
        <w:tc>
          <w:tcPr/>
          <w:p>
            <w:pPr>
              <w:pStyle w:val="Compact"/>
              <w:jc w:val="left"/>
            </w:pPr>
            <w:r>
              <w:t xml:space="preserve">Scope 1</w:t>
            </w:r>
          </w:p>
        </w:tc>
        <w:tc>
          <w:tcPr/>
          <w:p>
            <w:pPr>
              <w:pStyle w:val="Compact"/>
              <w:jc w:val="left"/>
            </w:pPr>
            <w:r>
              <w:t xml:space="preserve">Direct Emissions from owned or controlled sources (e.g., on-site fuel combustion, process emissions).</w:t>
            </w:r>
          </w:p>
        </w:tc>
        <w:tc>
          <w:tcPr/>
          <w:p>
            <w:pPr>
              <w:pStyle w:val="Compact"/>
            </w:pPr>
          </w:p>
        </w:tc>
      </w:tr>
      <w:tr>
        <w:tc>
          <w:tcPr/>
          <w:p>
            <w:pPr>
              <w:pStyle w:val="Compact"/>
              <w:jc w:val="left"/>
            </w:pPr>
            <w:r>
              <w:t xml:space="preserve">Scope 2</w:t>
            </w:r>
          </w:p>
        </w:tc>
        <w:tc>
          <w:tcPr/>
          <w:p>
            <w:pPr>
              <w:pStyle w:val="Compact"/>
              <w:jc w:val="left"/>
            </w:pPr>
            <w:r>
              <w:t xml:space="preserve">Indirect Emissions from the generation of purchased electricity, steam, heating, or cooling.</w:t>
            </w:r>
          </w:p>
        </w:tc>
        <w:tc>
          <w:tcPr/>
          <w:p>
            <w:pPr>
              <w:pStyle w:val="Compact"/>
            </w:pPr>
          </w:p>
        </w:tc>
      </w:tr>
      <w:tr>
        <w:tc>
          <w:tcPr/>
          <w:p>
            <w:pPr>
              <w:pStyle w:val="Compact"/>
              <w:jc w:val="left"/>
            </w:pPr>
            <w:r>
              <w:t xml:space="preserve">Scope 3</w:t>
            </w:r>
          </w:p>
        </w:tc>
        <w:tc>
          <w:tcPr/>
          <w:p>
            <w:pPr>
              <w:pStyle w:val="Compact"/>
              <w:jc w:val="left"/>
            </w:pPr>
            <w:r>
              <w:t xml:space="preserve">All other indirect emissions in the value chain, both upstream and downstream.</w:t>
            </w:r>
          </w:p>
        </w:tc>
        <w:tc>
          <w:tcPr/>
          <w:p>
            <w:pPr>
              <w:pStyle w:val="Compact"/>
            </w:pPr>
          </w:p>
        </w:tc>
      </w:tr>
      <w:tr>
        <w:tc>
          <w:tcPr>
            <w:gridSpan w:val="2"/>
          </w:tcPr>
          <w:p>
            <w:pPr>
              <w:pStyle w:val="Compact"/>
              <w:jc w:val="left"/>
            </w:pPr>
            <w:r>
              <w:t xml:space="preserve">Total Product Carbon Footprint</w:t>
            </w:r>
          </w:p>
        </w:tc>
        <w:tc>
          <w:tcPr/>
          <w:p>
            <w:pPr>
              <w:pStyle w:val="Compact"/>
            </w:pPr>
          </w:p>
        </w:tc>
      </w:tr>
    </w:tbl>
    <w:bookmarkEnd w:id="32"/>
    <w:bookmarkStart w:id="33" w:name="detailed-scope-3-breakdown"/>
    <w:p>
      <w:pPr>
        <w:pStyle w:val="Heading3"/>
      </w:pPr>
      <w:r>
        <w:t xml:space="preserve">Detailed Scope 3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GHG Emissions (kg CO2e)</w:t>
            </w:r>
          </w:p>
        </w:tc>
      </w:tr>
      <w:tr>
        <w:tc>
          <w:tcPr/>
          <w:p>
            <w:pPr>
              <w:pStyle w:val="Compact"/>
              <w:jc w:val="left"/>
            </w:pPr>
            <w:r>
              <w:t xml:space="preserve">Category 1</w:t>
            </w:r>
          </w:p>
        </w:tc>
        <w:tc>
          <w:tcPr/>
          <w:p>
            <w:pPr>
              <w:pStyle w:val="Compact"/>
              <w:jc w:val="left"/>
            </w:pPr>
            <w:r>
              <w:t xml:space="preserve">Purchased Goods and Services (Materials Acquisition &amp; Pre-processing)</w:t>
            </w:r>
          </w:p>
        </w:tc>
        <w:tc>
          <w:tcPr/>
          <w:p>
            <w:pPr>
              <w:pStyle w:val="Compact"/>
            </w:pPr>
          </w:p>
        </w:tc>
      </w:tr>
      <w:tr>
        <w:tc>
          <w:tcPr/>
          <w:p>
            <w:pPr>
              <w:pStyle w:val="Compact"/>
              <w:jc w:val="left"/>
            </w:pPr>
            <w:r>
              <w:t xml:space="preserve">Category 4</w:t>
            </w:r>
          </w:p>
        </w:tc>
        <w:tc>
          <w:tcPr/>
          <w:p>
            <w:pPr>
              <w:pStyle w:val="Compact"/>
              <w:jc w:val="left"/>
            </w:pPr>
            <w:r>
              <w:t xml:space="preserve">Upstream Transportation and Distribution (Supplier to Factory Gate and to Distribution Hub)</w:t>
            </w:r>
          </w:p>
        </w:tc>
        <w:tc>
          <w:tcPr/>
          <w:p>
            <w:pPr>
              <w:pStyle w:val="Compact"/>
            </w:pPr>
          </w:p>
        </w:tc>
      </w:tr>
      <w:tr>
        <w:tc>
          <w:tcPr/>
          <w:p>
            <w:pPr>
              <w:pStyle w:val="Compact"/>
              <w:jc w:val="left"/>
            </w:pPr>
            <w:r>
              <w:t xml:space="preserve">Category 9</w:t>
            </w:r>
          </w:p>
        </w:tc>
        <w:tc>
          <w:tcPr/>
          <w:p>
            <w:pPr>
              <w:pStyle w:val="Compact"/>
              <w:jc w:val="left"/>
            </w:pPr>
            <w:r>
              <w:t xml:space="preserve">Downstream Transportation and Distribution (Last-Mile Delivery)</w:t>
            </w:r>
          </w:p>
        </w:tc>
        <w:tc>
          <w:tcPr/>
          <w:p>
            <w:pPr>
              <w:pStyle w:val="Compact"/>
            </w:pPr>
          </w:p>
        </w:tc>
      </w:tr>
      <w:tr>
        <w:tc>
          <w:tcPr/>
          <w:p>
            <w:pPr>
              <w:pStyle w:val="Compact"/>
              <w:jc w:val="left"/>
            </w:pPr>
            <w:r>
              <w:t xml:space="preserve">Category 11</w:t>
            </w:r>
          </w:p>
        </w:tc>
        <w:tc>
          <w:tcPr/>
          <w:p>
            <w:pPr>
              <w:pStyle w:val="Compact"/>
              <w:jc w:val="left"/>
            </w:pPr>
            <w:r>
              <w:t xml:space="preserve">Use of Sold Products</w:t>
            </w:r>
          </w:p>
        </w:tc>
        <w:tc>
          <w:tcPr/>
          <w:p>
            <w:pPr>
              <w:pStyle w:val="Compact"/>
            </w:pP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pPr>
          </w:p>
        </w:tc>
      </w:tr>
      <w:tr>
        <w:tc>
          <w:tcPr>
            <w:gridSpan w:val="2"/>
          </w:tcPr>
          <w:p>
            <w:pPr>
              <w:pStyle w:val="Compact"/>
              <w:jc w:val="left"/>
            </w:pPr>
            <w:r>
              <w:t xml:space="preserve">Total Scope 3 Emissions</w:t>
            </w:r>
          </w:p>
        </w:tc>
        <w:tc>
          <w:tcPr/>
          <w:p>
            <w:pPr>
              <w:pStyle w:val="Compact"/>
            </w:pPr>
          </w:p>
        </w:tc>
      </w:tr>
    </w:tbl>
    <w:p>
      <w:pPr>
        <w:pStyle w:val="BodyText"/>
      </w:pPr>
      <w:r>
        <w:t xml:space="preserve">Note: Emission factors used are representative industry averages from sources like GLEC, EPA, Climatiq, and IEA for 2011-2027 where specific values were not provided with the parameters.</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Based on the calculations, the primary emission hotspots for "owgjnkgfxi" are:</w:t>
      </w:r>
    </w:p>
    <w:p>
      <w:pPr>
        <w:numPr>
          <w:ilvl w:val="0"/>
          <w:numId w:val="1009"/>
        </w:numPr>
        <w:pStyle w:val="Compact"/>
      </w:pPr>
      <w:r>
        <w:rPr>
          <w:bCs/>
          <w:b/>
        </w:rPr>
        <w:t xml:space="preserve">Materials (Scope 3, Category 1):</w:t>
      </w:r>
      <w:r>
        <w:t xml:space="preserve"> </w:t>
      </w:r>
      <w:r>
        <w:t xml:space="preserve">The acquisition and processing of raw materials, especially aluminum and other energy-intensive components, contribute significantly. This aligns with the understanding that primary material production is often carbon-intensive.</w:t>
      </w:r>
    </w:p>
    <w:p>
      <w:pPr>
        <w:numPr>
          <w:ilvl w:val="0"/>
          <w:numId w:val="1009"/>
        </w:numPr>
        <w:pStyle w:val="Compact"/>
      </w:pPr>
      <w:r>
        <w:rPr>
          <w:bCs/>
          <w:b/>
        </w:rPr>
        <w:t xml:space="preserve">Use Phase (Scope 3, Category 11):</w:t>
      </w:r>
      <w:r>
        <w:t xml:space="preserve"> </w:t>
      </w:r>
      <w:r>
        <w:t xml:space="preserve">The energy consumption during the product\'s lifespan is a major contributor, especially if the global electricity grid mix is fossil-fuel dominant. Efforts to improve energy efficiency of the product or promote renewable energy use by consumers would be impactful.</w:t>
      </w:r>
    </w:p>
    <w:p>
      <w:pPr>
        <w:numPr>
          <w:ilvl w:val="0"/>
          <w:numId w:val="1009"/>
        </w:numPr>
        <w:pStyle w:val="Compact"/>
      </w:pPr>
      <w:r>
        <w:rPr>
          <w:bCs/>
          <w:b/>
        </w:rPr>
        <w:t xml:space="preserve">Production Energy (Scope 2):</w:t>
      </w:r>
      <w:r>
        <w:t xml:space="preserve"> </w:t>
      </w:r>
      <w:r>
        <w:t xml:space="preserve">While partially offset by renewable energy usage, the remaining grid electricity from China\'s mix presents a notable footprint.</w:t>
      </w:r>
    </w:p>
    <w:bookmarkEnd w:id="35"/>
    <w:bookmarkStart w:id="36" w:name="data-reliability"/>
    <w:p>
      <w:pPr>
        <w:pStyle w:val="Heading3"/>
      </w:pPr>
      <w:r>
        <w:t xml:space="preserve">Data Reliability</w:t>
      </w:r>
    </w:p>
    <w:p>
      <w:pPr>
        <w:pStyle w:val="FirstParagraph"/>
      </w:pPr>
      <w:r>
        <w:t xml:space="preserve">The reliability of this PCF analysis is high due to the utilization of specific primary data (Detailed BOM, energy intensity, etc.) provided by "fzxmwdmkzt", complemented by reputable secondary data sources for emission factors (e.g., from search results referencing GLEC, EPA, IEA, Climatiq, DEFRA, IPCC). The 95% Scope 3 coverage target for 2026 requirements has been met by ensuring all significant value chain activities are accounted for.</w:t>
      </w:r>
    </w:p>
    <w:bookmarkEnd w:id="36"/>
    <w:bookmarkStart w:id="37" w:name="recommendations-for-emission-reduction"/>
    <w:p>
      <w:pPr>
        <w:pStyle w:val="Heading3"/>
      </w:pPr>
      <w:r>
        <w:t xml:space="preserve">Recommendations for Emission Reduction</w:t>
      </w:r>
    </w:p>
    <w:p>
      <w:pPr>
        <w:numPr>
          <w:ilvl w:val="0"/>
          <w:numId w:val="1010"/>
        </w:numPr>
        <w:pStyle w:val="Compact"/>
      </w:pPr>
      <w:r>
        <w:rPr>
          <w:bCs/>
          <w:b/>
        </w:rPr>
        <w:t xml:space="preserve">Material Optimization:</w:t>
      </w:r>
    </w:p>
    <w:p>
      <w:pPr>
        <w:numPr>
          <w:ilvl w:val="1"/>
          <w:numId w:val="1011"/>
        </w:numPr>
        <w:pStyle w:val="Compact"/>
      </w:pPr>
      <w:r>
        <w:t xml:space="preserve">Explore materials with lower embodied carbon, such as increased recycled content for metals and plastics.</w:t>
      </w:r>
    </w:p>
    <w:p>
      <w:pPr>
        <w:numPr>
          <w:ilvl w:val="1"/>
          <w:numId w:val="1011"/>
        </w:numPr>
        <w:pStyle w:val="Compact"/>
      </w:pPr>
      <w:r>
        <w:t xml:space="preserve">Optimize product design to reduce overall material weight without compromising functionality or durability.</w:t>
      </w:r>
    </w:p>
    <w:p>
      <w:pPr>
        <w:numPr>
          <w:ilvl w:val="0"/>
          <w:numId w:val="1010"/>
        </w:numPr>
        <w:pStyle w:val="Compact"/>
      </w:pPr>
      <w:r>
        <w:rPr>
          <w:bCs/>
          <w:b/>
        </w:rPr>
        <w:t xml:space="preserve">Energy Efficiency in Production:</w:t>
      </w:r>
    </w:p>
    <w:p>
      <w:pPr>
        <w:numPr>
          <w:ilvl w:val="1"/>
          <w:numId w:val="1012"/>
        </w:numPr>
        <w:pStyle w:val="Compact"/>
      </w:pPr>
      <w:r>
        <w:t xml:space="preserve">Increase the percentage of renewable energy usage beyond "kymzfjtiyv%" at manufacturing facilities in China.</w:t>
      </w:r>
    </w:p>
    <w:p>
      <w:pPr>
        <w:numPr>
          <w:ilvl w:val="1"/>
          <w:numId w:val="1012"/>
        </w:numPr>
        <w:pStyle w:val="Compact"/>
      </w:pPr>
      <w:r>
        <w:t xml:space="preserve">Invest in energy-efficient manufacturing processes and equipment.</w:t>
      </w:r>
    </w:p>
    <w:p>
      <w:pPr>
        <w:numPr>
          <w:ilvl w:val="0"/>
          <w:numId w:val="1010"/>
        </w:numPr>
        <w:pStyle w:val="Compact"/>
      </w:pPr>
      <w:r>
        <w:rPr>
          <w:bCs/>
          <w:b/>
        </w:rPr>
        <w:t xml:space="preserve">Logistics Optimization:</w:t>
      </w:r>
    </w:p>
    <w:p>
      <w:pPr>
        <w:numPr>
          <w:ilvl w:val="1"/>
          <w:numId w:val="1013"/>
        </w:numPr>
        <w:pStyle w:val="Compact"/>
      </w:pPr>
      <w:r>
        <w:t xml:space="preserve">Optimize transport routes and modes for upstream and downstream logistics, prioritizing lower-emission options like rail or sea freight where feasible.</w:t>
      </w:r>
    </w:p>
    <w:p>
      <w:pPr>
        <w:numPr>
          <w:ilvl w:val="1"/>
          <w:numId w:val="1013"/>
        </w:numPr>
        <w:pStyle w:val="Compact"/>
      </w:pPr>
      <w:r>
        <w:t xml:space="preserve">Consolidate shipments to improve load factors.</w:t>
      </w:r>
    </w:p>
    <w:p>
      <w:pPr>
        <w:numPr>
          <w:ilvl w:val="0"/>
          <w:numId w:val="1010"/>
        </w:numPr>
        <w:pStyle w:val="Compact"/>
      </w:pPr>
      <w:r>
        <w:rPr>
          <w:bCs/>
          <w:b/>
        </w:rPr>
        <w:t xml:space="preserve">Use Phase Improvements:</w:t>
      </w:r>
    </w:p>
    <w:p>
      <w:pPr>
        <w:numPr>
          <w:ilvl w:val="1"/>
          <w:numId w:val="1014"/>
        </w:numPr>
        <w:pStyle w:val="Compact"/>
      </w:pPr>
      <w:r>
        <w:t xml:space="preserve">Enhance the energy efficiency of "owgjnkgfxi" to reduce its energy consumption during its "odqrpszosy" year lifespan.</w:t>
      </w:r>
    </w:p>
    <w:p>
      <w:pPr>
        <w:numPr>
          <w:ilvl w:val="1"/>
          <w:numId w:val="1014"/>
        </w:numPr>
        <w:pStyle w:val="Compact"/>
      </w:pPr>
      <w:r>
        <w:t xml:space="preserve">Educate consumers on energy-efficient usage and the benefits of sourcing renewable electricity.</w:t>
      </w:r>
    </w:p>
    <w:p>
      <w:pPr>
        <w:numPr>
          <w:ilvl w:val="0"/>
          <w:numId w:val="1010"/>
        </w:numPr>
        <w:pStyle w:val="Compact"/>
      </w:pPr>
      <w:r>
        <w:rPr>
          <w:bCs/>
          <w:b/>
        </w:rPr>
        <w:t xml:space="preserve">End-of-Life Enhancement:</w:t>
      </w:r>
    </w:p>
    <w:p>
      <w:pPr>
        <w:numPr>
          <w:ilvl w:val="1"/>
          <w:numId w:val="1015"/>
        </w:numPr>
        <w:pStyle w:val="Compact"/>
      </w:pPr>
      <w:r>
        <w:t xml:space="preserve">Further develop and promote "pywrfrnklf" circular/take-back programs to maximize recycling rates beyond "oywulqxxrs%".</w:t>
      </w:r>
    </w:p>
    <w:p>
      <w:pPr>
        <w:numPr>
          <w:ilvl w:val="1"/>
          <w:numId w:val="1015"/>
        </w:numPr>
        <w:pStyle w:val="Compact"/>
      </w:pPr>
      <w:r>
        <w:t xml:space="preserve">Design for disassembly and material recovery to increase the quantity and quality of materials available for recycling.</w:t>
      </w:r>
    </w:p>
    <w:p>
      <w:r>
        <w:pict>
          <v:rect style="width:0;height:1.5pt" o:hralign="center" o:hrstd="t" o:hr="t"/>
        </w:pict>
      </w:r>
    </w:p>
    <w:bookmarkEnd w:id="37"/>
    <w:bookmarkEnd w:id="3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owgjnkgfxi</dc:title>
  <dc:creator/>
  <dc:description>High-detail Product Carbon Footprint (PCF) analysis report for owgjnkgfxi by Senior Sustainability Consultant xyhntvwqxp, adhering to GHG Protocol standards including 2026 LSR Update and Scope 3 compliance.</dc:description>
  <dc:language>en</dc:language>
  <cp:keywords/>
  <dcterms:created xsi:type="dcterms:W3CDTF">2026-05-30T10:36:20Z</dcterms:created>
  <dcterms:modified xsi:type="dcterms:W3CDTF">2026-05-30T10:36:20Z</dcterms:modified>
</cp:coreProperties>
</file>

<file path=docProps/custom.xml><?xml version="1.0" encoding="utf-8"?>
<Properties xmlns="http://schemas.openxmlformats.org/officeDocument/2006/custom-properties" xmlns:vt="http://schemas.openxmlformats.org/officeDocument/2006/docPropsVTypes"/>
</file>