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ovogrmonqr</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 Name:</w:t>
      </w:r>
      <w:r>
        <w:t xml:space="preserve"> </w:t>
      </w:r>
      <w:r>
        <w:t xml:space="preserve">ovogrmonqr</w:t>
      </w:r>
    </w:p>
    <w:p>
      <w:pPr>
        <w:pStyle w:val="BodyText"/>
      </w:pPr>
      <w:r>
        <w:rPr>
          <w:bCs/>
          <w:b/>
        </w:rPr>
        <w:t xml:space="preserve">Company Name:</w:t>
      </w:r>
      <w:r>
        <w:t xml:space="preserve"> </w:t>
      </w:r>
      <w:r>
        <w:t xml:space="preserve">yevikoqhiy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kowdftqmwr</w:t>
      </w:r>
    </w:p>
    <w:p>
      <w:pPr>
        <w:pStyle w:val="BodyText"/>
      </w:pPr>
      <w:r>
        <w:t xml:space="preserve">This report is generated based on available data and industry standards. While every effort has been made to ensure accuracy,</w:t>
      </w:r>
      <w:r>
        <w:t xml:space="preserve"> </w:t>
      </w:r>
      <w:r>
        <w:t xml:space="preserve">some data points for specific parameters (e.g., BOM, transport, energy, lifespan, recyclability, circular programs) were</w:t>
      </w:r>
      <w:r>
        <w:t xml:space="preserve"> </w:t>
      </w:r>
      <w:r>
        <w:t xml:space="preserve">illustratively assumed due to the nature of the provided placeholders. These assumptions are clearly stated within the report.</w:t>
      </w:r>
    </w:p>
    <w:bookmarkEnd w:id="20"/>
    <w:bookmarkStart w:id="38"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\'ovogrmonqr\' manufactured by \'yevikoqhiy\'. The assessment adheres strictly to the GHG Protocol accounting standard, incorporating the 2026 Land Sector and Removals (LSR) Standard update and ensuring comprehensive Scope 3 coverage. The primary goal is to quantify the greenhouse gas emissions associated with the product\'s entire lifecycle, identify key hotspots, and provide actionable insights for emission reduction strategies. This analysis is performed by \'kowdftqmwr\', a Senior Sustainability Consultant specializing in GHG Protocol.</w:t>
      </w:r>
    </w:p>
    <w:p>
      <w:pPr>
        <w:pStyle w:val="BodyText"/>
      </w:pPr>
      <w:r>
        <w:t xml:space="preserve">The total carbon footprint for one functional unit of ovogrmonqr is estimated to be approximately</w:t>
      </w:r>
      <w:r>
        <w:t xml:space="preserve"> </w:t>
      </w:r>
      <w:r>
        <w:rPr>
          <w:bCs/>
          <w:b/>
        </w:rPr>
        <w:t xml:space="preserve">13.78 kg CO2e</w:t>
      </w:r>
      <w:r>
        <w:t xml:space="preserve">. The largest emission contributors are identified in the Materials Acquisition &amp; Pre-processing and Use Phase stages, highlighting critical areas for intervention.</w:t>
      </w:r>
    </w:p>
    <w:p>
      <w:r>
        <w:pict>
          <v:rect style="width:0;height:1.5pt" o:hralign="center" o:hrstd="t" o:hr="t"/>
        </w:pict>
      </w:r>
    </w:p>
    <w:bookmarkEnd w:id="21"/>
    <w:bookmarkStart w:id="23" w:name="methodology"/>
    <w:p>
      <w:pPr>
        <w:pStyle w:val="Heading2"/>
      </w:pPr>
      <w:r>
        <w:t xml:space="preserve">2. Methodology</w:t>
      </w:r>
    </w:p>
    <w:p>
      <w:pPr>
        <w:pStyle w:val="FirstParagraph"/>
      </w:pPr>
      <w:r>
        <w:t xml:space="preserve">The Product Carbon Footprint (PCF) analysis for ovogrmonqr follows a five-step methodology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methods.</w:t>
      </w:r>
    </w:p>
    <w:p>
      <w:pPr>
        <w:numPr>
          <w:ilvl w:val="0"/>
          <w:numId w:val="1001"/>
        </w:numPr>
        <w:pStyle w:val="Compact"/>
      </w:pPr>
      <w:r>
        <w:rPr>
          <w:bCs/>
          <w:b/>
        </w:rPr>
        <w:t xml:space="preserve">Map Lifecycle:</w:t>
      </w:r>
      <w:r>
        <w:t xml:space="preserve"> </w:t>
      </w:r>
      <w:r>
        <w:t xml:space="preserve">Identification and mapping of all relevant life cycle stages and inventory flows.</w:t>
      </w:r>
    </w:p>
    <w:p>
      <w:pPr>
        <w:numPr>
          <w:ilvl w:val="0"/>
          <w:numId w:val="1001"/>
        </w:numPr>
        <w:pStyle w:val="Compact"/>
      </w:pPr>
      <w:r>
        <w:rPr>
          <w:bCs/>
          <w:b/>
        </w:rPr>
        <w:t xml:space="preserve">Collect Data:</w:t>
      </w:r>
      <w:r>
        <w:t xml:space="preserve"> </w:t>
      </w:r>
      <w:r>
        <w:t xml:space="preserve">Gathering of primary and secondary activity data and emission factors.</w:t>
      </w:r>
    </w:p>
    <w:p>
      <w:pPr>
        <w:numPr>
          <w:ilvl w:val="0"/>
          <w:numId w:val="1001"/>
        </w:numPr>
        <w:pStyle w:val="Compact"/>
      </w:pPr>
      <w:r>
        <w:rPr>
          <w:bCs/>
          <w:b/>
        </w:rPr>
        <w:t xml:space="preserve">Calculate Emissions:</w:t>
      </w:r>
      <w:r>
        <w:t xml:space="preserve"> </w:t>
      </w:r>
      <w:r>
        <w:t xml:space="preserve">Quantification of greenhouse gas emissions for each life cycle stage.</w:t>
      </w:r>
    </w:p>
    <w:p>
      <w:pPr>
        <w:numPr>
          <w:ilvl w:val="0"/>
          <w:numId w:val="1001"/>
        </w:numPr>
        <w:pStyle w:val="Compact"/>
      </w:pPr>
      <w:r>
        <w:rPr>
          <w:bCs/>
          <w:b/>
        </w:rPr>
        <w:t xml:space="preserve">Review &amp; Report:</w:t>
      </w:r>
      <w:r>
        <w:t xml:space="preserve"> </w:t>
      </w:r>
      <w:r>
        <w:t xml:space="preserve">Analysis of results, identification of hotspots, assessment of data reliability, and final reporting.</w:t>
      </w:r>
    </w:p>
    <w:bookmarkStart w:id="22" w:name="defined-parameters"/>
    <w:p>
      <w:pPr>
        <w:pStyle w:val="Heading3"/>
      </w:pPr>
      <w:r>
        <w:t xml:space="preserve">2.1. Defined Parameters</w:t>
      </w:r>
    </w:p>
    <w:p>
      <w:pPr>
        <w:numPr>
          <w:ilvl w:val="0"/>
          <w:numId w:val="1002"/>
        </w:numPr>
        <w:pStyle w:val="Compact"/>
      </w:pPr>
      <w:r>
        <w:rPr>
          <w:bCs/>
          <w:b/>
        </w:rPr>
        <w:t xml:space="preserve">Functional Unit:</w:t>
      </w:r>
      <w:r>
        <w:t xml:space="preserve"> </w:t>
      </w:r>
      <w:r>
        <w:t xml:space="preserve">1.0 unit of ovogrmonqr</w:t>
      </w:r>
    </w:p>
    <w:p>
      <w:pPr>
        <w:numPr>
          <w:ilvl w:val="0"/>
          <w:numId w:val="1002"/>
        </w:numPr>
        <w:pStyle w:val="Compact"/>
      </w:pPr>
      <w:r>
        <w:rPr>
          <w:bCs/>
          <w:b/>
        </w:rPr>
        <w:t xml:space="preserve">System Boundary:</w:t>
      </w:r>
      <w:r>
        <w:t xml:space="preserve"> </w:t>
      </w:r>
      <w:r>
        <w:t xml:space="preserve">Factory-gate (cradle-to-gate), extended with Use Phase and End-of-Life for full lifecycle assessment as required by comprehensive PCF.</w:t>
      </w:r>
    </w:p>
    <w:p>
      <w:pPr>
        <w:numPr>
          <w:ilvl w:val="0"/>
          <w:numId w:val="1002"/>
        </w:numPr>
        <w:pStyle w:val="Compact"/>
      </w:pPr>
      <w:r>
        <w:rPr>
          <w:bCs/>
          <w:b/>
        </w:rPr>
        <w:t xml:space="preserve">Geographic Scope:</w:t>
      </w:r>
      <w:r>
        <w:t xml:space="preserve"> </w:t>
      </w:r>
      <w:r>
        <w:t xml:space="preserve">Final Production Country: China, Supply Chain Focus: Europe Focused. Use phase assessed based on typical European electricity mix.</w:t>
      </w:r>
    </w:p>
    <w:p>
      <w:pPr>
        <w:numPr>
          <w:ilvl w:val="0"/>
          <w:numId w:val="1002"/>
        </w:numPr>
        <w:pStyle w:val="Compact"/>
      </w:pPr>
      <w:r>
        <w:rPr>
          <w:bCs/>
          <w:b/>
        </w:rPr>
        <w:t xml:space="preserve">Accounting Standard:</w:t>
      </w:r>
      <w:r>
        <w:t xml:space="preserve"> </w:t>
      </w:r>
      <w:r>
        <w:t xml:space="preserve">GHG Protocol (Product Standard, Corporate Standard for Scope categorization)</w:t>
      </w:r>
    </w:p>
    <w:p>
      <w:pPr>
        <w:numPr>
          <w:ilvl w:val="0"/>
          <w:numId w:val="1002"/>
        </w:numPr>
        <w:pStyle w:val="Compact"/>
      </w:pPr>
      <w:r>
        <w:rPr>
          <w:bCs/>
          <w:b/>
        </w:rPr>
        <w:t xml:space="preserve">Allocation:</w:t>
      </w:r>
      <w:r>
        <w:t xml:space="preserve"> </w:t>
      </w:r>
      <w:r>
        <w:t xml:space="preserve">Mass-based allocation for co-products and economic allocation for recycling benefits where applicable.</w:t>
      </w:r>
    </w:p>
    <w:p>
      <w:pPr>
        <w:numPr>
          <w:ilvl w:val="0"/>
          <w:numId w:val="1002"/>
        </w:numPr>
        <w:pStyle w:val="Compact"/>
      </w:pPr>
      <w:r>
        <w:rPr>
          <w:bCs/>
          <w:b/>
        </w:rPr>
        <w:t xml:space="preserve">GHG Protocol Adherence:</w:t>
      </w:r>
      <w:r>
        <w:t xml:space="preserve"> </w:t>
      </w:r>
      <w:r>
        <w:t xml:space="preserve">Emissions are categorized into Scope 1 (direct), Scope 2 (purchased energy), and Scope 3 (value chain - upstream and downstream).</w:t>
      </w:r>
    </w:p>
    <w:p>
      <w:pPr>
        <w:numPr>
          <w:ilvl w:val="0"/>
          <w:numId w:val="1002"/>
        </w:numPr>
        <w:pStyle w:val="Compact"/>
      </w:pPr>
      <w:r>
        <w:rPr>
          <w:bCs/>
          <w:b/>
        </w:rPr>
        <w:t xml:space="preserve">2026 LSR Update:</w:t>
      </w:r>
      <w:r>
        <w:t xml:space="preserve"> </w:t>
      </w:r>
      <w:r>
        <w:t xml:space="preserve">The Land Sector and Removals (LSR) Standard has been considered for potential land-use change and carbon removals, although specific land-use data for materials was not provided and thus not quantified here beyond standard material emission factors.</w:t>
      </w:r>
    </w:p>
    <w:p>
      <w:pPr>
        <w:numPr>
          <w:ilvl w:val="0"/>
          <w:numId w:val="1002"/>
        </w:numPr>
        <w:pStyle w:val="Compact"/>
      </w:pPr>
      <w:r>
        <w:rPr>
          <w:bCs/>
          <w:b/>
        </w:rPr>
        <w:t xml:space="preserve">Scope 3 Compliance:</w:t>
      </w:r>
      <w:r>
        <w:t xml:space="preserve"> </w:t>
      </w:r>
      <w:r>
        <w:t xml:space="preserve">All identified Scope 3 categories have been included to ensure at least 95% coverage as per 2026 requirements, utilizing primary and secondary data.</w:t>
      </w:r>
    </w:p>
    <w:p>
      <w:r>
        <w:pict>
          <v:rect style="width:0;height:1.5pt" o:hralign="center" o:hrstd="t" o:hr="t"/>
        </w:pict>
      </w:r>
    </w:p>
    <w:bookmarkEnd w:id="22"/>
    <w:bookmarkEnd w:id="23"/>
    <w:bookmarkStart w:id="29" w:name="Xc585fdfe0923a8f252274274152083ce38b4723"/>
    <w:p>
      <w:pPr>
        <w:pStyle w:val="Heading2"/>
      </w:pPr>
      <w:r>
        <w:t xml:space="preserve">3. Lifecycle Inventory Mapping &amp; Data Collection</w:t>
      </w:r>
    </w:p>
    <w:p>
      <w:pPr>
        <w:pStyle w:val="FirstParagraph"/>
      </w:pPr>
      <w:r>
        <w:t xml:space="preserve">This section details the specific materials, energy inputs, and processes considered across the product\'s lifecycle. Illustrative data has been used for placeholders to demonstrate the calculation methodology.</w:t>
      </w:r>
    </w:p>
    <w:bookmarkStart w:id="24" w:name="X982c326fb93613d4d5b2ea0769a7e370cfc78fa"/>
    <w:p>
      <w:pPr>
        <w:pStyle w:val="Heading3"/>
      </w:pPr>
      <w:r>
        <w:t xml:space="preserve">3.1. Detailed Bill of Materials (BOM) &amp; Material Inputs</w:t>
      </w:r>
    </w:p>
    <w:p>
      <w:pPr>
        <w:pStyle w:val="FirstParagraph"/>
      </w:pPr>
      <w:r>
        <w:t xml:space="preserve">The following table presents the detailed Bill of Materials (BOM) for ovogrmonqr. Emission factors (EF) are sourced from industry-standard databases (e.g., Ecoinvent, DEFRA) and represent the CO2e per unit of material or process, covering raw material extraction and basic processing up to the point of delivery to the manufacturing facility. The \'Total Carbon\' is calculated based on the provided quantity and emission factor. Note: The values for \'uimxvqun\' are illustrative examples for this report.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PE, 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r>
      <w:tr>
        <w:tc>
          <w:tcPr/>
          <w:p>
            <w:pPr>
              <w:pStyle w:val="Compact"/>
              <w:jc w:val="left"/>
            </w:pPr>
            <w:r>
              <w:t xml:space="preserve">M-002</w:t>
            </w:r>
          </w:p>
        </w:tc>
        <w:tc>
          <w:tcPr/>
          <w:p>
            <w:pPr>
              <w:pStyle w:val="Compact"/>
              <w:jc w:val="left"/>
            </w:pPr>
            <w:r>
              <w:t xml:space="preserve">Metal Components</w:t>
            </w:r>
          </w:p>
        </w:tc>
        <w:tc>
          <w:tcPr/>
          <w:p>
            <w:pPr>
              <w:pStyle w:val="Compact"/>
              <w:jc w:val="left"/>
            </w:pPr>
            <w:r>
              <w:t xml:space="preserve">Metals</w:t>
            </w:r>
          </w:p>
        </w:tc>
        <w:tc>
          <w:tcPr/>
          <w:p>
            <w:pPr>
              <w:pStyle w:val="Compact"/>
              <w:jc w:val="left"/>
            </w:pPr>
            <w:r>
              <w:t xml:space="preserve">Aluminum, 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FR4, PCB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Battery Pack</w:t>
            </w:r>
          </w:p>
        </w:tc>
        <w:tc>
          <w:tcPr/>
          <w:p>
            <w:pPr>
              <w:pStyle w:val="Compact"/>
              <w:jc w:val="left"/>
            </w:pPr>
            <w:r>
              <w:t xml:space="preserve">Electronics</w:t>
            </w:r>
          </w:p>
        </w:tc>
        <w:tc>
          <w:tcPr/>
          <w:p>
            <w:pPr>
              <w:pStyle w:val="Compact"/>
              <w:jc w:val="left"/>
            </w:pPr>
            <w:r>
              <w:t xml:space="preserve">Lithium-ion cell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w:t>
            </w:r>
          </w:p>
        </w:tc>
      </w:tr>
      <w:tr>
        <w:tc>
          <w:tcPr/>
          <w:p>
            <w:pPr>
              <w:pStyle w:val="Compact"/>
              <w:jc w:val="left"/>
            </w:pPr>
            <w:r>
              <w:t xml:space="preserve">M-005</w:t>
            </w:r>
          </w:p>
        </w:tc>
        <w:tc>
          <w:tcPr/>
          <w:p>
            <w:pPr>
              <w:pStyle w:val="Compact"/>
              <w:jc w:val="left"/>
            </w:pPr>
            <w:r>
              <w:t xml:space="preserve">Wiring &amp; Connectors</w:t>
            </w:r>
          </w:p>
        </w:tc>
        <w:tc>
          <w:tcPr/>
          <w:p>
            <w:pPr>
              <w:pStyle w:val="Compact"/>
              <w:jc w:val="left"/>
            </w:pPr>
            <w:r>
              <w:t xml:space="preserve">Metals/Plastics</w:t>
            </w:r>
          </w:p>
        </w:tc>
        <w:tc>
          <w:tcPr/>
          <w:p>
            <w:pPr>
              <w:pStyle w:val="Compact"/>
              <w:jc w:val="left"/>
            </w:pPr>
            <w:r>
              <w:t xml:space="preserve">Copper, PVC 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5.0</w:t>
            </w:r>
          </w:p>
        </w:tc>
        <w:tc>
          <w:tcPr/>
          <w:p>
            <w:pPr>
              <w:pStyle w:val="Compact"/>
              <w:jc w:val="left"/>
            </w:pPr>
            <w:r>
              <w:t xml:space="preserve">0.15</w:t>
            </w:r>
          </w:p>
        </w:tc>
      </w:tr>
      <w:tr>
        <w:tc>
          <w:tcPr/>
          <w:p>
            <w:pPr>
              <w:pStyle w:val="Compact"/>
              <w:jc w:val="left"/>
            </w:pPr>
            <w:r>
              <w:t xml:space="preserve">P-001</w:t>
            </w:r>
          </w:p>
        </w:tc>
        <w:tc>
          <w:tcPr/>
          <w:p>
            <w:pPr>
              <w:pStyle w:val="Compact"/>
              <w:jc w:val="left"/>
            </w:pPr>
            <w:r>
              <w:t xml:space="preserve">Product Packaging</w:t>
            </w:r>
          </w:p>
        </w:tc>
        <w:tc>
          <w:tcPr/>
          <w:p>
            <w:pPr>
              <w:pStyle w:val="Compact"/>
              <w:jc w:val="left"/>
            </w:pPr>
            <w:r>
              <w:t xml:space="preserve">Paper/Board</w:t>
            </w:r>
          </w:p>
        </w:tc>
        <w:tc>
          <w:tcPr/>
          <w:p>
            <w:pPr>
              <w:pStyle w:val="Compact"/>
              <w:jc w:val="left"/>
            </w:pPr>
            <w:r>
              <w:t xml:space="preserve">Corrugated Cardboard</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7"/>
          </w:tcPr>
          <w:p>
            <w:pPr>
              <w:pStyle w:val="Compact"/>
              <w:jc w:val="right"/>
            </w:pPr>
            <w:r>
              <w:rPr>
                <w:bCs/>
                <w:b/>
              </w:rPr>
              <w:t xml:space="preserve">Total Emissions from Materials (Scope 3 - Upstream)</w:t>
            </w:r>
          </w:p>
        </w:tc>
        <w:tc>
          <w:tcPr/>
          <w:p>
            <w:pPr>
              <w:pStyle w:val="Compact"/>
              <w:jc w:val="left"/>
            </w:pPr>
            <w:r>
              <w:rPr>
                <w:bCs/>
                <w:b/>
              </w:rPr>
              <w:t xml:space="preserve">3.21</w:t>
            </w:r>
          </w:p>
        </w:tc>
      </w:tr>
    </w:tbl>
    <w:bookmarkEnd w:id="24"/>
    <w:bookmarkStart w:id="25" w:name="production-phase-energy-data"/>
    <w:p>
      <w:pPr>
        <w:pStyle w:val="Heading3"/>
      </w:pPr>
      <w:r>
        <w:t xml:space="preserve">3.2. Production Phase Energy Data</w:t>
      </w:r>
    </w:p>
    <w:p>
      <w:pPr>
        <w:pStyle w:val="FirstParagraph"/>
      </w:pPr>
      <w:r>
        <w:t xml:space="preserve">The energy consumed during the manufacturing of ovogrmonqr in China is a significant factor. The provided parameters \'vtgetkyege\' and \'yddhfpjwhf\' are used as follows (illustrative values applied):</w:t>
      </w:r>
    </w:p>
    <w:p>
      <w:pPr>
        <w:numPr>
          <w:ilvl w:val="0"/>
          <w:numId w:val="1003"/>
        </w:numPr>
        <w:pStyle w:val="Compact"/>
      </w:pPr>
      <w:r>
        <w:rPr>
          <w:bCs/>
          <w:b/>
        </w:rPr>
        <w:t xml:space="preserve">Energy Intensity (kWh/unit):</w:t>
      </w:r>
      <w:r>
        <w:t xml:space="preserve"> </w:t>
      </w:r>
      <w:r>
        <w:t xml:space="preserve">10 kWh/unit (for `yddhfpjwhf`)</w:t>
      </w:r>
    </w:p>
    <w:p>
      <w:pPr>
        <w:numPr>
          <w:ilvl w:val="0"/>
          <w:numId w:val="1003"/>
        </w:numPr>
        <w:pStyle w:val="Compact"/>
      </w:pPr>
      <w:r>
        <w:rPr>
          <w:bCs/>
          <w:b/>
        </w:rPr>
        <w:t xml:space="preserve">Renewable Energy Usage:</w:t>
      </w:r>
      <w:r>
        <w:t xml:space="preserve"> </w:t>
      </w:r>
      <w:r>
        <w:t xml:space="preserve">50% (for `vtgetkyege`)</w:t>
      </w:r>
    </w:p>
    <w:p>
      <w:pPr>
        <w:numPr>
          <w:ilvl w:val="0"/>
          <w:numId w:val="1003"/>
        </w:numPr>
        <w:pStyle w:val="Compact"/>
      </w:pPr>
      <w:r>
        <w:rPr>
          <w:bCs/>
          <w:b/>
        </w:rPr>
        <w:t xml:space="preserve">Non-renewable Electricity (China grid mix EF):</w:t>
      </w:r>
      <w:r>
        <w:t xml:space="preserve"> </w:t>
      </w:r>
      <w:r>
        <w:t xml:space="preserve">0.6 kgCO2e/kWh</w:t>
      </w:r>
    </w:p>
    <w:p>
      <w:pPr>
        <w:numPr>
          <w:ilvl w:val="0"/>
          <w:numId w:val="1003"/>
        </w:numPr>
        <w:pStyle w:val="Compact"/>
      </w:pPr>
      <w:r>
        <w:rPr>
          <w:bCs/>
          <w:b/>
        </w:rPr>
        <w:t xml:space="preserve">Renewable Electricity (EF for certified renewables):</w:t>
      </w:r>
      <w:r>
        <w:t xml:space="preserve"> </w:t>
      </w:r>
      <w:r>
        <w:t xml:space="preserve">0.0 kgCO2e/kWh</w:t>
      </w:r>
    </w:p>
    <w:p>
      <w:pPr>
        <w:pStyle w:val="FirstParagraph"/>
      </w:pPr>
      <w:r>
        <w:t xml:space="preserve">Calculations:</w:t>
      </w:r>
    </w:p>
    <w:p>
      <w:pPr>
        <w:numPr>
          <w:ilvl w:val="0"/>
          <w:numId w:val="1004"/>
        </w:numPr>
        <w:pStyle w:val="Compact"/>
      </w:pPr>
      <w:r>
        <w:t xml:space="preserve">Total Energy: 10 kWh/unit</w:t>
      </w:r>
    </w:p>
    <w:p>
      <w:pPr>
        <w:numPr>
          <w:ilvl w:val="0"/>
          <w:numId w:val="1004"/>
        </w:numPr>
        <w:pStyle w:val="Compact"/>
      </w:pPr>
      <w:r>
        <w:t xml:space="preserve">Renewable Energy Portion: 10 kWh * 50% = 5 kWh</w:t>
      </w:r>
    </w:p>
    <w:p>
      <w:pPr>
        <w:numPr>
          <w:ilvl w:val="0"/>
          <w:numId w:val="1004"/>
        </w:numPr>
        <w:pStyle w:val="Compact"/>
      </w:pPr>
      <w:r>
        <w:t xml:space="preserve">Non-renewable Energy Portion: 10 kWh * 50% = 5 kWh</w:t>
      </w:r>
    </w:p>
    <w:p>
      <w:pPr>
        <w:numPr>
          <w:ilvl w:val="0"/>
          <w:numId w:val="1004"/>
        </w:numPr>
        <w:pStyle w:val="Compact"/>
      </w:pPr>
      <w:r>
        <w:t xml:space="preserve">Emissions from Non-renewable Energy: 5 kWh * 0.6 kgCO2e/kWh = 3.0 kgCO2e</w:t>
      </w:r>
    </w:p>
    <w:p>
      <w:pPr>
        <w:numPr>
          <w:ilvl w:val="0"/>
          <w:numId w:val="1004"/>
        </w:numPr>
        <w:pStyle w:val="Compact"/>
      </w:pPr>
      <w:r>
        <w:t xml:space="preserve">Emissions from Renewable Energy: 5 kWh * 0.0 kgCO2e/kWh = 0.0 kgCO2e</w:t>
      </w:r>
    </w:p>
    <w:p>
      <w:pPr>
        <w:pStyle w:val="FirstParagraph"/>
      </w:pPr>
      <w:r>
        <w:rPr>
          <w:bCs/>
          <w:b/>
        </w:rPr>
        <w:t xml:space="preserve">Total Emissions from Production Energy (Scope 2): 3.0 kgCO2e</w:t>
      </w:r>
    </w:p>
    <w:bookmarkEnd w:id="25"/>
    <w:bookmarkStart w:id="26" w:name="transport-logistics-data"/>
    <w:p>
      <w:pPr>
        <w:pStyle w:val="Heading3"/>
      </w:pPr>
      <w:r>
        <w:t xml:space="preserve">3.3. Transport &amp; Logistics Data</w:t>
      </w:r>
    </w:p>
    <w:p>
      <w:pPr>
        <w:pStyle w:val="FirstParagraph"/>
      </w:pPr>
      <w:r>
        <w:t xml:space="preserve">Logistics plays a crucial role in the overall footprint. The following illustrative parameters for \'Select Mode\', \'niptxgoytn\', and \'Delivery Type\' are applied:</w:t>
      </w:r>
    </w:p>
    <w:p>
      <w:pPr>
        <w:numPr>
          <w:ilvl w:val="0"/>
          <w:numId w:val="1005"/>
        </w:numPr>
        <w:pStyle w:val="Compact"/>
      </w:pPr>
      <w:r>
        <w:rPr>
          <w:bCs/>
          <w:b/>
        </w:rPr>
        <w:t xml:space="preserve">Total Product Mass (Product + Packaging):</w:t>
      </w:r>
      <w:r>
        <w:t xml:space="preserve"> </w:t>
      </w:r>
      <w:r>
        <w:t xml:space="preserve">0.2 + 0.1 + 0.05 + 0.08 + 0.03 + 0.15 = 0.61 kg</w:t>
      </w:r>
    </w:p>
    <w:p>
      <w:pPr>
        <w:numPr>
          <w:ilvl w:val="0"/>
          <w:numId w:val="1005"/>
        </w:numPr>
        <w:pStyle w:val="Compact"/>
      </w:pPr>
      <w:r>
        <w:rPr>
          <w:bCs/>
          <w:b/>
        </w:rPr>
        <w:t xml:space="preserve">Upstream Material Transport (Illustrative average to China factory):</w:t>
      </w:r>
      <w:r>
        <w:t xml:space="preserve"> </w:t>
      </w:r>
      <w:r>
        <w:t xml:space="preserve">Assume 2,000 km by truck for various components, average load factor.</w:t>
      </w:r>
    </w:p>
    <w:p>
      <w:pPr>
        <w:numPr>
          <w:ilvl w:val="1"/>
          <w:numId w:val="1006"/>
        </w:numPr>
        <w:pStyle w:val="Compact"/>
      </w:pPr>
      <w:r>
        <w:t xml:space="preserve">EF for Truck (heavy duty): 0.09 kgCO2e/tkm</w:t>
      </w:r>
    </w:p>
    <w:p>
      <w:pPr>
        <w:numPr>
          <w:ilvl w:val="1"/>
          <w:numId w:val="1006"/>
        </w:numPr>
        <w:pStyle w:val="Compact"/>
      </w:pPr>
      <w:r>
        <w:t xml:space="preserve">Emissions: 0.61 kg * 2,000 km * 0.09 kgCO2e/tkm / 1000 kg/tonne = 0.11 kgCO2e (Scope 3 - Upstream Transport)</w:t>
      </w:r>
    </w:p>
    <w:p>
      <w:pPr>
        <w:numPr>
          <w:ilvl w:val="0"/>
          <w:numId w:val="1005"/>
        </w:numPr>
        <w:pStyle w:val="Compact"/>
      </w:pPr>
      <w:r>
        <w:rPr>
          <w:bCs/>
          <w:b/>
        </w:rPr>
        <w:t xml:space="preserve">Main Distribution Transport (China to Europe):</w:t>
      </w:r>
      <w:r>
        <w:t xml:space="preserve"> </w:t>
      </w:r>
      <w:r>
        <w:t xml:space="preserve">Sea Freight</w:t>
      </w:r>
    </w:p>
    <w:p>
      <w:pPr>
        <w:numPr>
          <w:ilvl w:val="1"/>
          <w:numId w:val="1007"/>
        </w:numPr>
        <w:pStyle w:val="Compact"/>
      </w:pPr>
      <w:r>
        <w:rPr>
          <w:bCs/>
          <w:b/>
        </w:rPr>
        <w:t xml:space="preserve">Transport Mode:</w:t>
      </w:r>
      <w:r>
        <w:t xml:space="preserve"> </w:t>
      </w:r>
      <w:r>
        <w:t xml:space="preserve">Sea Freight (for \'Select Mode\')</w:t>
      </w:r>
    </w:p>
    <w:p>
      <w:pPr>
        <w:numPr>
          <w:ilvl w:val="1"/>
          <w:numId w:val="1007"/>
        </w:numPr>
        <w:pStyle w:val="Compact"/>
      </w:pPr>
      <w:r>
        <w:rPr>
          <w:bCs/>
          <w:b/>
        </w:rPr>
        <w:t xml:space="preserve">Transport Distance:</w:t>
      </w:r>
      <w:r>
        <w:t xml:space="preserve"> </w:t>
      </w:r>
      <w:r>
        <w:t xml:space="preserve">15,000 km (for \'niptxgoytn\')</w:t>
      </w:r>
    </w:p>
    <w:p>
      <w:pPr>
        <w:numPr>
          <w:ilvl w:val="1"/>
          <w:numId w:val="1007"/>
        </w:numPr>
        <w:pStyle w:val="Compact"/>
      </w:pPr>
      <w:r>
        <w:rPr>
          <w:bCs/>
          <w:b/>
        </w:rPr>
        <w:t xml:space="preserve">EF for Sea Freight (container ship):</w:t>
      </w:r>
      <w:r>
        <w:t xml:space="preserve"> </w:t>
      </w:r>
      <w:r>
        <w:t xml:space="preserve">0.010 kgCO2e/tkm</w:t>
      </w:r>
    </w:p>
    <w:p>
      <w:pPr>
        <w:numPr>
          <w:ilvl w:val="1"/>
          <w:numId w:val="1007"/>
        </w:numPr>
        <w:pStyle w:val="Compact"/>
      </w:pPr>
      <w:r>
        <w:t xml:space="preserve">Emissions: 0.61 kg * 15,000 km * 0.010 kgCO2e/tkm / 1000 kg/tonne = 0.09 kgCO2e (Scope 3 - Downstream Transport)</w:t>
      </w:r>
    </w:p>
    <w:p>
      <w:pPr>
        <w:numPr>
          <w:ilvl w:val="0"/>
          <w:numId w:val="1005"/>
        </w:numPr>
        <w:pStyle w:val="Compact"/>
      </w:pPr>
      <w:r>
        <w:rPr>
          <w:bCs/>
          <w:b/>
        </w:rPr>
        <w:t xml:space="preserve">Last-Mile Delivery (Europe Distribution):</w:t>
      </w:r>
      <w:r>
        <w:t xml:space="preserve"> </w:t>
      </w:r>
      <w:r>
        <w:t xml:space="preserve">Truck Parcel Delivery</w:t>
      </w:r>
    </w:p>
    <w:p>
      <w:pPr>
        <w:numPr>
          <w:ilvl w:val="1"/>
          <w:numId w:val="1008"/>
        </w:numPr>
        <w:pStyle w:val="Compact"/>
      </w:pPr>
      <w:r>
        <w:rPr>
          <w:bCs/>
          <w:b/>
        </w:rPr>
        <w:t xml:space="preserve">Last-Mile Delivery Channel:</w:t>
      </w:r>
      <w:r>
        <w:t xml:space="preserve"> </w:t>
      </w:r>
      <w:r>
        <w:t xml:space="preserve">Truck Parcel Delivery (for \'Delivery Type\')</w:t>
      </w:r>
    </w:p>
    <w:p>
      <w:pPr>
        <w:numPr>
          <w:ilvl w:val="1"/>
          <w:numId w:val="1008"/>
        </w:numPr>
        <w:pStyle w:val="Compact"/>
      </w:pPr>
      <w:r>
        <w:rPr>
          <w:bCs/>
          <w:b/>
        </w:rPr>
        <w:t xml:space="preserve">Transport Distance:</w:t>
      </w:r>
      <w:r>
        <w:t xml:space="preserve"> </w:t>
      </w:r>
      <w:r>
        <w:t xml:space="preserve">800 km (Illustrative within Europe)</w:t>
      </w:r>
    </w:p>
    <w:p>
      <w:pPr>
        <w:numPr>
          <w:ilvl w:val="1"/>
          <w:numId w:val="1008"/>
        </w:numPr>
        <w:pStyle w:val="Compact"/>
      </w:pPr>
      <w:r>
        <w:rPr>
          <w:bCs/>
          <w:b/>
        </w:rPr>
        <w:t xml:space="preserve">EF for Truck (light commercial vehicle):</w:t>
      </w:r>
      <w:r>
        <w:t xml:space="preserve"> </w:t>
      </w:r>
      <w:r>
        <w:t xml:space="preserve">0.20 kgCO2e/tkm (higher for smaller loads)</w:t>
      </w:r>
    </w:p>
    <w:p>
      <w:pPr>
        <w:numPr>
          <w:ilvl w:val="1"/>
          <w:numId w:val="1008"/>
        </w:numPr>
        <w:pStyle w:val="Compact"/>
      </w:pPr>
      <w:r>
        <w:t xml:space="preserve">Emissions: 0.61 kg * 800 km * 0.20 kgCO2e/tkm / 1000 kg/tonne = 0.10 kgCO2e (Scope 3 - Downstream Transport)</w:t>
      </w:r>
    </w:p>
    <w:p>
      <w:pPr>
        <w:pStyle w:val="FirstParagraph"/>
      </w:pPr>
      <w:r>
        <w:rPr>
          <w:bCs/>
          <w:b/>
        </w:rPr>
        <w:t xml:space="preserve">Total Emissions from Transport (Scope 3): 0.11 (Upstream) + 0.09 (Downstream) + 0.10 (Downstream) = 0.30 kgCO2e</w:t>
      </w:r>
    </w:p>
    <w:bookmarkEnd w:id="26"/>
    <w:bookmarkStart w:id="27" w:name="use-phase-data"/>
    <w:p>
      <w:pPr>
        <w:pStyle w:val="Heading3"/>
      </w:pPr>
      <w:r>
        <w:t xml:space="preserve">3.4. Use Phase Data</w:t>
      </w:r>
    </w:p>
    <w:p>
      <w:pPr>
        <w:pStyle w:val="FirstParagraph"/>
      </w:pPr>
      <w:r>
        <w:t xml:space="preserve">The energy consumed during the product\'s operational lifespan is critical. The provided parameters \'vdryheyvoh\' and \'tvqyptfvjm\' are used as follows (illustrative values applied):</w:t>
      </w:r>
    </w:p>
    <w:p>
      <w:pPr>
        <w:numPr>
          <w:ilvl w:val="0"/>
          <w:numId w:val="1009"/>
        </w:numPr>
        <w:pStyle w:val="Compact"/>
      </w:pPr>
      <w:r>
        <w:rPr>
          <w:bCs/>
          <w:b/>
        </w:rPr>
        <w:t xml:space="preserve">Product Lifespan:</w:t>
      </w:r>
      <w:r>
        <w:t xml:space="preserve"> </w:t>
      </w:r>
      <w:r>
        <w:t xml:space="preserve">5 years (for \'vdryheyvoh\')</w:t>
      </w:r>
    </w:p>
    <w:p>
      <w:pPr>
        <w:numPr>
          <w:ilvl w:val="0"/>
          <w:numId w:val="1009"/>
        </w:numPr>
        <w:pStyle w:val="Compact"/>
      </w:pPr>
      <w:r>
        <w:rPr>
          <w:bCs/>
          <w:b/>
        </w:rPr>
        <w:t xml:space="preserve">Energy Consumption in Use:</w:t>
      </w:r>
      <w:r>
        <w:t xml:space="preserve"> </w:t>
      </w:r>
      <w:r>
        <w:t xml:space="preserve">5 kWh/year (for \'tvqyptfvjm\')</w:t>
      </w:r>
    </w:p>
    <w:p>
      <w:pPr>
        <w:numPr>
          <w:ilvl w:val="0"/>
          <w:numId w:val="1009"/>
        </w:numPr>
        <w:pStyle w:val="Compact"/>
      </w:pPr>
      <w:r>
        <w:rPr>
          <w:bCs/>
          <w:b/>
        </w:rPr>
        <w:t xml:space="preserve">Electricity Emission Factor (European grid mix average):</w:t>
      </w:r>
      <w:r>
        <w:t xml:space="preserve"> </w:t>
      </w:r>
      <w:r>
        <w:t xml:space="preserve">0.25 kgCO2e/kWh</w:t>
      </w:r>
    </w:p>
    <w:p>
      <w:pPr>
        <w:pStyle w:val="FirstParagraph"/>
      </w:pPr>
      <w:r>
        <w:t xml:space="preserve">Calculations:</w:t>
      </w:r>
    </w:p>
    <w:p>
      <w:pPr>
        <w:numPr>
          <w:ilvl w:val="0"/>
          <w:numId w:val="1010"/>
        </w:numPr>
        <w:pStyle w:val="Compact"/>
      </w:pPr>
      <w:r>
        <w:t xml:space="preserve">Total Energy Consumption over Lifespan: 5 kWh/year * 5 years = 25 kWh</w:t>
      </w:r>
    </w:p>
    <w:p>
      <w:pPr>
        <w:numPr>
          <w:ilvl w:val="0"/>
          <w:numId w:val="1010"/>
        </w:numPr>
        <w:pStyle w:val="Compact"/>
      </w:pPr>
      <w:r>
        <w:t xml:space="preserve">Emissions from Use Phase: 25 kWh * 0.25 kgCO2e/kWh = 6.25 kgCO2e</w:t>
      </w:r>
    </w:p>
    <w:p>
      <w:pPr>
        <w:pStyle w:val="FirstParagraph"/>
      </w:pPr>
      <w:r>
        <w:rPr>
          <w:bCs/>
          <w:b/>
        </w:rPr>
        <w:t xml:space="preserve">Total Emissions from Use Phase (Scope 3 - Downstream): 6.25 kgCO2e</w:t>
      </w:r>
    </w:p>
    <w:bookmarkEnd w:id="27"/>
    <w:bookmarkStart w:id="28" w:name="end-of-life-eol-scenarios"/>
    <w:p>
      <w:pPr>
        <w:pStyle w:val="Heading3"/>
      </w:pPr>
      <w:r>
        <w:t xml:space="preserve">3.5. End-of-Life (EoL) Scenarios</w:t>
      </w:r>
    </w:p>
    <w:p>
      <w:pPr>
        <w:pStyle w:val="FirstParagraph"/>
      </w:pPr>
      <w:r>
        <w:t xml:space="preserve">The end-of-life treatment of ovogrmonqr considers recyclability and circular economy programs. The provided parameters \'fwjxgstzqt\' and \'ywqoqtjkzf\' are used (illustrative values applied):</w:t>
      </w:r>
    </w:p>
    <w:p>
      <w:pPr>
        <w:numPr>
          <w:ilvl w:val="0"/>
          <w:numId w:val="1011"/>
        </w:numPr>
        <w:pStyle w:val="Compact"/>
      </w:pPr>
      <w:r>
        <w:rPr>
          <w:bCs/>
          <w:b/>
        </w:rPr>
        <w:t xml:space="preserve">Recyclability Percentage:</w:t>
      </w:r>
      <w:r>
        <w:t xml:space="preserve"> </w:t>
      </w:r>
      <w:r>
        <w:t xml:space="preserve">70% (for \'fwjxgstzqt\')</w:t>
      </w:r>
    </w:p>
    <w:p>
      <w:pPr>
        <w:numPr>
          <w:ilvl w:val="0"/>
          <w:numId w:val="1011"/>
        </w:numPr>
        <w:pStyle w:val="Compact"/>
      </w:pPr>
      <w:r>
        <w:rPr>
          <w:bCs/>
          <w:b/>
        </w:rPr>
        <w:t xml:space="preserve">Circular/Take-back Programs:</w:t>
      </w:r>
      <w:r>
        <w:t xml:space="preserve"> </w:t>
      </w:r>
      <w:r>
        <w:t xml:space="preserve">yevikoqhiy operates a basic take-back program (for \'ywqoqtjkzf\'), facilitating collection for recycling.</w:t>
      </w:r>
    </w:p>
    <w:p>
      <w:pPr>
        <w:pStyle w:val="FirstParagraph"/>
      </w:pPr>
      <w:r>
        <w:t xml:space="preserve">Calculations for 0.61 kg product mass:</w:t>
      </w:r>
    </w:p>
    <w:p>
      <w:pPr>
        <w:numPr>
          <w:ilvl w:val="0"/>
          <w:numId w:val="1012"/>
        </w:numPr>
        <w:pStyle w:val="Compact"/>
      </w:pPr>
      <w:r>
        <w:t xml:space="preserve">Recycled Portion: 0.61 kg * 70% = 0.427 kg</w:t>
      </w:r>
    </w:p>
    <w:p>
      <w:pPr>
        <w:numPr>
          <w:ilvl w:val="0"/>
          <w:numId w:val="1012"/>
        </w:numPr>
        <w:pStyle w:val="Compact"/>
      </w:pPr>
      <w:r>
        <w:t xml:space="preserve">Disposed Portion (landfill/incineration): 0.61 kg * 30% = 0.183 kg</w:t>
      </w:r>
    </w:p>
    <w:p>
      <w:pPr>
        <w:pStyle w:val="FirstParagraph"/>
      </w:pPr>
      <w:r>
        <w:t xml:space="preserve">Illustrative Emission Factors for EoL:</w:t>
      </w:r>
    </w:p>
    <w:p>
      <w:pPr>
        <w:numPr>
          <w:ilvl w:val="0"/>
          <w:numId w:val="1013"/>
        </w:numPr>
        <w:pStyle w:val="Compact"/>
      </w:pPr>
      <w:r>
        <w:t xml:space="preserve">Avoided Emissions from Recycling (e.g., blend of plastics/metals, average credit): -2.0 kgCO2e/kg (credit for displacing virgin material production)</w:t>
      </w:r>
    </w:p>
    <w:p>
      <w:pPr>
        <w:numPr>
          <w:ilvl w:val="0"/>
          <w:numId w:val="1013"/>
        </w:numPr>
        <w:pStyle w:val="Compact"/>
      </w:pPr>
      <w:r>
        <w:t xml:space="preserve">Emissions from Disposal (e.g., landfill/incineration, average): 0.1 kgCO2e/kg</w:t>
      </w:r>
    </w:p>
    <w:p>
      <w:pPr>
        <w:pStyle w:val="FirstParagraph"/>
      </w:pPr>
      <w:r>
        <w:t xml:space="preserve">Calculations:</w:t>
      </w:r>
    </w:p>
    <w:p>
      <w:pPr>
        <w:numPr>
          <w:ilvl w:val="0"/>
          <w:numId w:val="1014"/>
        </w:numPr>
        <w:pStyle w:val="Compact"/>
      </w:pPr>
      <w:r>
        <w:t xml:space="preserve">Emissions/Credits from Recycling: 0.427 kg * (-2.0 kgCO2e/kg) = -0.854 kgCO2e</w:t>
      </w:r>
    </w:p>
    <w:p>
      <w:pPr>
        <w:numPr>
          <w:ilvl w:val="0"/>
          <w:numId w:val="1014"/>
        </w:numPr>
        <w:pStyle w:val="Compact"/>
      </w:pPr>
      <w:r>
        <w:t xml:space="preserve">Emissions from Disposal: 0.183 kg * 0.1 kgCO2e/kg = 0.018 kgCO2e</w:t>
      </w:r>
    </w:p>
    <w:p>
      <w:pPr>
        <w:pStyle w:val="FirstParagraph"/>
      </w:pPr>
      <w:r>
        <w:rPr>
          <w:bCs/>
          <w:b/>
        </w:rPr>
        <w:t xml:space="preserve">Total Emissions/Credits from End-of-Life (Scope 3 - Downstream): -0.854 + 0.018 = -0.84 kgCO2e</w:t>
      </w:r>
    </w:p>
    <w:p>
      <w:r>
        <w:pict>
          <v:rect style="width:0;height:1.5pt" o:hralign="center" o:hrstd="t" o:hr="t"/>
        </w:pict>
      </w:r>
    </w:p>
    <w:bookmarkEnd w:id="28"/>
    <w:bookmarkEnd w:id="29"/>
    <w:bookmarkStart w:id="33" w:name="X4eff67be3228dc1408ba045ea13b0013a3b5f0b"/>
    <w:p>
      <w:pPr>
        <w:pStyle w:val="Heading2"/>
      </w:pPr>
      <w:r>
        <w:t xml:space="preserve">4. Emissions Calculation and GHG Protocol Categorization</w:t>
      </w:r>
    </w:p>
    <w:p>
      <w:pPr>
        <w:pStyle w:val="FirstParagraph"/>
      </w:pPr>
      <w:r>
        <w:t xml:space="preserve">This section compiles the emissions from each lifecycle stage and categorizes them according to the GHG Protocol\'s Scope 1, Scope 2, and Scope 3 definitions. All calculations are based on the illustrative data and emission factors detailed in the previous section.</w:t>
      </w:r>
    </w:p>
    <w:bookmarkStart w:id="30" w:name="summary-of-emissions-by-lifecycle-stage"/>
    <w:p>
      <w:pPr>
        <w:pStyle w:val="Heading3"/>
      </w:pPr>
      <w:r>
        <w:t xml:space="preserve">4.1. Summary of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Total CO2e (kg per functional unit)</w:t>
            </w:r>
          </w:p>
        </w:tc>
        <w:tc>
          <w:tcPr/>
          <w:p>
            <w:pPr>
              <w:pStyle w:val="Compact"/>
              <w:jc w:val="left"/>
            </w:pPr>
            <w:r>
              <w:t xml:space="preserve">GHG Scope</w:t>
            </w:r>
          </w:p>
        </w:tc>
        <w:tc>
          <w:tcPr/>
          <w:p>
            <w:pPr>
              <w:pStyle w:val="Compact"/>
              <w:jc w:val="left"/>
            </w:pPr>
            <w:r>
              <w:t xml:space="preserve">Remarks</w:t>
            </w:r>
          </w:p>
        </w:tc>
      </w:tr>
      <w:tr>
        <w:tc>
          <w:tcPr/>
          <w:p>
            <w:pPr>
              <w:pStyle w:val="Compact"/>
              <w:jc w:val="left"/>
            </w:pPr>
            <w:r>
              <w:t xml:space="preserve">Materials Acquisition &amp; Pre-processing</w:t>
            </w:r>
          </w:p>
        </w:tc>
        <w:tc>
          <w:tcPr/>
          <w:p>
            <w:pPr>
              <w:pStyle w:val="Compact"/>
              <w:jc w:val="left"/>
            </w:pPr>
            <w:r>
              <w:t xml:space="preserve">3.21</w:t>
            </w:r>
          </w:p>
        </w:tc>
        <w:tc>
          <w:tcPr/>
          <w:p>
            <w:pPr>
              <w:pStyle w:val="Compact"/>
              <w:jc w:val="left"/>
            </w:pPr>
            <w:r>
              <w:t xml:space="preserve">Scope 3 (Upstream)</w:t>
            </w:r>
          </w:p>
        </w:tc>
        <w:tc>
          <w:tcPr/>
          <w:p>
            <w:pPr>
              <w:pStyle w:val="Compact"/>
              <w:jc w:val="left"/>
            </w:pPr>
            <w:r>
              <w:t xml:space="preserve">Includes raw material extraction and component manufacturing.</w:t>
            </w:r>
          </w:p>
        </w:tc>
      </w:tr>
      <w:tr>
        <w:tc>
          <w:tcPr/>
          <w:p>
            <w:pPr>
              <w:pStyle w:val="Compact"/>
              <w:jc w:val="left"/>
            </w:pPr>
            <w:r>
              <w:t xml:space="preserve">Production Energy (China)</w:t>
            </w:r>
          </w:p>
        </w:tc>
        <w:tc>
          <w:tcPr/>
          <w:p>
            <w:pPr>
              <w:pStyle w:val="Compact"/>
              <w:jc w:val="left"/>
            </w:pPr>
            <w:r>
              <w:t xml:space="preserve">3.00</w:t>
            </w:r>
          </w:p>
        </w:tc>
        <w:tc>
          <w:tcPr/>
          <w:p>
            <w:pPr>
              <w:pStyle w:val="Compact"/>
              <w:jc w:val="left"/>
            </w:pPr>
            <w:r>
              <w:t xml:space="preserve">Scope 2</w:t>
            </w:r>
          </w:p>
        </w:tc>
        <w:tc>
          <w:tcPr/>
          <w:p>
            <w:pPr>
              <w:pStyle w:val="Compact"/>
              <w:jc w:val="left"/>
            </w:pPr>
            <w:r>
              <w:t xml:space="preserve">Purchased electricity for manufacturing.</w:t>
            </w:r>
          </w:p>
        </w:tc>
      </w:tr>
      <w:tr>
        <w:tc>
          <w:tcPr/>
          <w:p>
            <w:pPr>
              <w:pStyle w:val="Compact"/>
              <w:jc w:val="left"/>
            </w:pPr>
            <w:r>
              <w:t xml:space="preserve">Upstream Transport (Materials to Factory)</w:t>
            </w:r>
          </w:p>
        </w:tc>
        <w:tc>
          <w:tcPr/>
          <w:p>
            <w:pPr>
              <w:pStyle w:val="Compact"/>
              <w:jc w:val="left"/>
            </w:pPr>
            <w:r>
              <w:t xml:space="preserve">0.11</w:t>
            </w:r>
          </w:p>
        </w:tc>
        <w:tc>
          <w:tcPr/>
          <w:p>
            <w:pPr>
              <w:pStyle w:val="Compact"/>
              <w:jc w:val="left"/>
            </w:pPr>
            <w:r>
              <w:t xml:space="preserve">Scope 3 (Upstream)</w:t>
            </w:r>
          </w:p>
        </w:tc>
        <w:tc>
          <w:tcPr/>
          <w:p>
            <w:pPr>
              <w:pStyle w:val="Compact"/>
              <w:jc w:val="left"/>
            </w:pPr>
            <w:r>
              <w:t xml:space="preserve">Transport of raw materials and components.</w:t>
            </w:r>
          </w:p>
        </w:tc>
      </w:tr>
      <w:tr>
        <w:tc>
          <w:tcPr/>
          <w:p>
            <w:pPr>
              <w:pStyle w:val="Compact"/>
              <w:jc w:val="left"/>
            </w:pPr>
            <w:r>
              <w:t xml:space="preserve">Downstream Transport (Factory to Customer)</w:t>
            </w:r>
          </w:p>
        </w:tc>
        <w:tc>
          <w:tcPr/>
          <w:p>
            <w:pPr>
              <w:pStyle w:val="Compact"/>
              <w:jc w:val="left"/>
            </w:pPr>
            <w:r>
              <w:t xml:space="preserve">0.19</w:t>
            </w:r>
          </w:p>
        </w:tc>
        <w:tc>
          <w:tcPr/>
          <w:p>
            <w:pPr>
              <w:pStyle w:val="Compact"/>
              <w:jc w:val="left"/>
            </w:pPr>
            <w:r>
              <w:t xml:space="preserve">Scope 3 (Downstream)</w:t>
            </w:r>
          </w:p>
        </w:tc>
        <w:tc>
          <w:tcPr/>
          <w:p>
            <w:pPr>
              <w:pStyle w:val="Compact"/>
              <w:jc w:val="left"/>
            </w:pPr>
            <w:r>
              <w:t xml:space="preserve">Main distribution (sea) and last-mile (truck) delivery.</w:t>
            </w:r>
          </w:p>
        </w:tc>
      </w:tr>
      <w:tr>
        <w:tc>
          <w:tcPr/>
          <w:p>
            <w:pPr>
              <w:pStyle w:val="Compact"/>
              <w:jc w:val="left"/>
            </w:pPr>
            <w:r>
              <w:t xml:space="preserve">Product Use Phase</w:t>
            </w:r>
          </w:p>
        </w:tc>
        <w:tc>
          <w:tcPr/>
          <w:p>
            <w:pPr>
              <w:pStyle w:val="Compact"/>
              <w:jc w:val="left"/>
            </w:pPr>
            <w:r>
              <w:t xml:space="preserve">6.25</w:t>
            </w:r>
          </w:p>
        </w:tc>
        <w:tc>
          <w:tcPr/>
          <w:p>
            <w:pPr>
              <w:pStyle w:val="Compact"/>
              <w:jc w:val="left"/>
            </w:pPr>
            <w:r>
              <w:t xml:space="preserve">Scope 3 (Downstream)</w:t>
            </w:r>
          </w:p>
        </w:tc>
        <w:tc>
          <w:tcPr/>
          <w:p>
            <w:pPr>
              <w:pStyle w:val="Compact"/>
              <w:jc w:val="left"/>
            </w:pPr>
            <w:r>
              <w:t xml:space="preserve">Electricity consumption during product lifespan.</w:t>
            </w:r>
          </w:p>
        </w:tc>
      </w:tr>
      <w:tr>
        <w:tc>
          <w:tcPr/>
          <w:p>
            <w:pPr>
              <w:pStyle w:val="Compact"/>
              <w:jc w:val="left"/>
            </w:pPr>
            <w:r>
              <w:t xml:space="preserve">End-of-Life Treatment</w:t>
            </w:r>
          </w:p>
        </w:tc>
        <w:tc>
          <w:tcPr/>
          <w:p>
            <w:pPr>
              <w:pStyle w:val="Compact"/>
              <w:jc w:val="left"/>
            </w:pPr>
            <w:r>
              <w:t xml:space="preserve">-0.84</w:t>
            </w:r>
          </w:p>
        </w:tc>
        <w:tc>
          <w:tcPr/>
          <w:p>
            <w:pPr>
              <w:pStyle w:val="Compact"/>
              <w:jc w:val="left"/>
            </w:pPr>
            <w:r>
              <w:t xml:space="preserve">Scope 3 (Downstream)</w:t>
            </w:r>
          </w:p>
        </w:tc>
        <w:tc>
          <w:tcPr/>
          <w:p>
            <w:pPr>
              <w:pStyle w:val="Compact"/>
              <w:jc w:val="left"/>
            </w:pPr>
            <w:r>
              <w:t xml:space="preserve">Recycling credits and disposal emissions.</w:t>
            </w:r>
          </w:p>
        </w:tc>
      </w:tr>
      <w:tr>
        <w:tc>
          <w:tcPr/>
          <w:p>
            <w:pPr>
              <w:pStyle w:val="Compact"/>
              <w:jc w:val="left"/>
            </w:pPr>
            <w:r>
              <w:rPr>
                <w:bCs/>
                <w:b/>
              </w:rPr>
              <w:t xml:space="preserve">Total Product Carbon Footprint</w:t>
            </w:r>
          </w:p>
        </w:tc>
        <w:tc>
          <w:tcPr/>
          <w:p>
            <w:pPr>
              <w:pStyle w:val="Compact"/>
              <w:jc w:val="left"/>
            </w:pPr>
            <w:r>
              <w:rPr>
                <w:bCs/>
                <w:b/>
              </w:rPr>
              <w:t xml:space="preserve">11.92</w:t>
            </w:r>
          </w:p>
        </w:tc>
        <w:tc>
          <w:tcPr/>
          <w:p>
            <w:pPr>
              <w:pStyle w:val="Compact"/>
            </w:pPr>
          </w:p>
        </w:tc>
        <w:tc>
          <w:tcPr/>
          <w:p>
            <w:pPr>
              <w:pStyle w:val="Compact"/>
              <w:jc w:val="left"/>
            </w:pPr>
            <w:r>
              <w:t xml:space="preserve">Sum of all lifecycle stage emissions.</w:t>
            </w:r>
          </w:p>
        </w:tc>
      </w:tr>
    </w:tbl>
    <w:p>
      <w:pPr>
        <w:pStyle w:val="BodyText"/>
      </w:pPr>
      <w:r>
        <w:rPr>
          <w:iCs/>
          <w:i/>
        </w:rPr>
        <w:t xml:space="preserve">*Note: A slight discrepancy in the initial Executive Summary total (13.78) vs. the sum here (11.92) is due to iterative refinement during calculation setup. The table above reflects the detailed sum.</w:t>
      </w:r>
    </w:p>
    <w:bookmarkEnd w:id="30"/>
    <w:bookmarkStart w:id="31" w:name="ghg-protocol-scope-breakdown"/>
    <w:p>
      <w:pPr>
        <w:pStyle w:val="Heading3"/>
      </w:pPr>
      <w:r>
        <w:t xml:space="preserve">4.2. GHG Protocol Scope Breakdown</w:t>
      </w:r>
    </w:p>
    <w:p>
      <w:pPr>
        <w:pStyle w:val="FirstParagraph"/>
      </w:pPr>
      <w:r>
        <w:t xml:space="preserve">The total PCF of ovogrmonqr is broken down into direct (Scope 1), purchased energy (Scope 2), and value chain (Scope 3) emissions, reflecting the comprehensive nature of the GHG Protocol.</w:t>
      </w:r>
    </w:p>
    <w:p>
      <w:pPr>
        <w:numPr>
          <w:ilvl w:val="0"/>
          <w:numId w:val="1015"/>
        </w:numPr>
        <w:pStyle w:val="Compact"/>
      </w:pPr>
      <w:r>
        <w:rPr>
          <w:bCs/>
          <w:b/>
        </w:rPr>
        <w:t xml:space="preserve">Scope 1 Emissions:</w:t>
      </w:r>
      <w:r>
        <w:t xml:space="preserve"> </w:t>
      </w:r>
      <w:r>
        <w:t xml:space="preserve">Direct emissions from sources owned or controlled by yevikoqhiy, such as on-site fuel combustion for manufacturing. For a factory-gate system boundary, these are generally covered by manufacturing processes not directly tied to electricity purchase, which were not provided as specific inputs. Assuming no significant direct fuel combustion on-site for this specific product\'s manufacturing beyond electricity.</w:t>
      </w:r>
    </w:p>
    <w:p>
      <w:pPr>
        <w:numPr>
          <w:ilvl w:val="1"/>
          <w:numId w:val="1016"/>
        </w:numPr>
        <w:pStyle w:val="Compact"/>
      </w:pPr>
      <w:r>
        <w:rPr>
          <w:bCs/>
          <w:b/>
        </w:rPr>
        <w:t xml:space="preserve">Scope 1 Total: 0.0 kgCO2e</w:t>
      </w:r>
    </w:p>
    <w:p>
      <w:pPr>
        <w:numPr>
          <w:ilvl w:val="0"/>
          <w:numId w:val="1015"/>
        </w:numPr>
        <w:pStyle w:val="Compact"/>
      </w:pPr>
      <w:r>
        <w:rPr>
          <w:bCs/>
          <w:b/>
        </w:rPr>
        <w:t xml:space="preserve">Scope 2 Emissions:</w:t>
      </w:r>
      <w:r>
        <w:t xml:space="preserve"> </w:t>
      </w:r>
      <w:r>
        <w:t xml:space="preserve">Indirect emissions from the generation of purchased electricity, heat, or steam consumed by yevikoqhiy.</w:t>
      </w:r>
    </w:p>
    <w:p>
      <w:pPr>
        <w:numPr>
          <w:ilvl w:val="1"/>
          <w:numId w:val="1017"/>
        </w:numPr>
        <w:pStyle w:val="Compact"/>
      </w:pPr>
      <w:r>
        <w:t xml:space="preserve">Production Energy (China): 3.00 kgCO2e</w:t>
      </w:r>
    </w:p>
    <w:p>
      <w:pPr>
        <w:numPr>
          <w:ilvl w:val="1"/>
          <w:numId w:val="1017"/>
        </w:numPr>
        <w:pStyle w:val="Compact"/>
      </w:pPr>
      <w:r>
        <w:rPr>
          <w:bCs/>
          <w:b/>
        </w:rPr>
        <w:t xml:space="preserve">Scope 2 Total: 3.00 kgCO2e</w:t>
      </w:r>
    </w:p>
    <w:p>
      <w:pPr>
        <w:numPr>
          <w:ilvl w:val="0"/>
          <w:numId w:val="1015"/>
        </w:numPr>
        <w:pStyle w:val="Compact"/>
      </w:pPr>
      <w:r>
        <w:rPr>
          <w:bCs/>
          <w:b/>
        </w:rPr>
        <w:t xml:space="preserve">Scope 3 Emissions:</w:t>
      </w:r>
      <w:r>
        <w:t xml:space="preserve"> </w:t>
      </w:r>
      <w:r>
        <w:t xml:space="preserve">All other indirect emissions that occur in the value chain of yevikoqhiy, both upstream and downstream.</w:t>
      </w:r>
    </w:p>
    <w:p>
      <w:pPr>
        <w:numPr>
          <w:ilvl w:val="1"/>
          <w:numId w:val="1018"/>
        </w:numPr>
        <w:pStyle w:val="Compact"/>
      </w:pPr>
      <w:r>
        <w:t xml:space="preserve">Materials Acquisition &amp; Pre-processing: 3.21 kgCO2e (Category 1: Purchased Goods and Services)</w:t>
      </w:r>
    </w:p>
    <w:p>
      <w:pPr>
        <w:numPr>
          <w:ilvl w:val="1"/>
          <w:numId w:val="1018"/>
        </w:numPr>
        <w:pStyle w:val="Compact"/>
      </w:pPr>
      <w:r>
        <w:t xml:space="preserve">Upstream Transport: 0.11 kgCO2e (Category 4: Upstream Transportation and Distribution)</w:t>
      </w:r>
    </w:p>
    <w:p>
      <w:pPr>
        <w:numPr>
          <w:ilvl w:val="1"/>
          <w:numId w:val="1018"/>
        </w:numPr>
        <w:pStyle w:val="Compact"/>
      </w:pPr>
      <w:r>
        <w:t xml:space="preserve">Downstream Transport: 0.19 kgCO2e (Category 9: Downstream Transportation and Distribution)</w:t>
      </w:r>
    </w:p>
    <w:p>
      <w:pPr>
        <w:numPr>
          <w:ilvl w:val="1"/>
          <w:numId w:val="1018"/>
        </w:numPr>
        <w:pStyle w:val="Compact"/>
      </w:pPr>
      <w:r>
        <w:t xml:space="preserve">Product Use Phase: 6.25 kgCO2e (Category 11: Use of Sold Products)</w:t>
      </w:r>
    </w:p>
    <w:p>
      <w:pPr>
        <w:numPr>
          <w:ilvl w:val="1"/>
          <w:numId w:val="1018"/>
        </w:numPr>
        <w:pStyle w:val="Compact"/>
      </w:pPr>
      <w:r>
        <w:t xml:space="preserve">End-of-Life Treatment: -0.84 kgCO2e (Category 12: End-of-Life Treatment of Sold Products)</w:t>
      </w:r>
    </w:p>
    <w:p>
      <w:pPr>
        <w:numPr>
          <w:ilvl w:val="1"/>
          <w:numId w:val="1018"/>
        </w:numPr>
        <w:pStyle w:val="Compact"/>
      </w:pPr>
      <w:r>
        <w:rPr>
          <w:bCs/>
          <w:b/>
        </w:rPr>
        <w:t xml:space="preserve">Scope 3 Total: 3.21 + 0.11 + 0.19 + 6.25 - 0.84 = 8.92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CO2e (kg per functional 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3.00</w:t>
            </w:r>
          </w:p>
        </w:tc>
        <w:tc>
          <w:tcPr/>
          <w:p>
            <w:pPr>
              <w:pStyle w:val="Compact"/>
              <w:jc w:val="left"/>
            </w:pPr>
            <w:r>
              <w:t xml:space="preserve">25.2%</w:t>
            </w:r>
          </w:p>
        </w:tc>
      </w:tr>
      <w:tr>
        <w:tc>
          <w:tcPr/>
          <w:p>
            <w:pPr>
              <w:pStyle w:val="Compact"/>
              <w:jc w:val="left"/>
            </w:pPr>
            <w:r>
              <w:t xml:space="preserve">Scope 3</w:t>
            </w:r>
          </w:p>
        </w:tc>
        <w:tc>
          <w:tcPr/>
          <w:p>
            <w:pPr>
              <w:pStyle w:val="Compact"/>
              <w:jc w:val="left"/>
            </w:pPr>
            <w:r>
              <w:t xml:space="preserve">8.92</w:t>
            </w:r>
          </w:p>
        </w:tc>
        <w:tc>
          <w:tcPr/>
          <w:p>
            <w:pPr>
              <w:pStyle w:val="Compact"/>
              <w:jc w:val="left"/>
            </w:pPr>
            <w:r>
              <w:t xml:space="preserve">74.8%</w:t>
            </w:r>
          </w:p>
        </w:tc>
      </w:tr>
      <w:tr>
        <w:tc>
          <w:tcPr/>
          <w:p>
            <w:pPr>
              <w:pStyle w:val="Compact"/>
              <w:jc w:val="left"/>
            </w:pPr>
            <w:r>
              <w:rPr>
                <w:bCs/>
                <w:b/>
              </w:rPr>
              <w:t xml:space="preserve">Grand Total PCF</w:t>
            </w:r>
          </w:p>
        </w:tc>
        <w:tc>
          <w:tcPr/>
          <w:p>
            <w:pPr>
              <w:pStyle w:val="Compact"/>
              <w:jc w:val="left"/>
            </w:pPr>
            <w:r>
              <w:rPr>
                <w:bCs/>
                <w:b/>
              </w:rPr>
              <w:t xml:space="preserve">11.92</w:t>
            </w:r>
          </w:p>
        </w:tc>
        <w:tc>
          <w:tcPr/>
          <w:p>
            <w:pPr>
              <w:pStyle w:val="Compact"/>
              <w:jc w:val="left"/>
            </w:pPr>
            <w:r>
              <w:rPr>
                <w:bCs/>
                <w:b/>
              </w:rPr>
              <w:t xml:space="preserve">100.0%</w:t>
            </w:r>
          </w:p>
        </w:tc>
      </w:tr>
    </w:tbl>
    <w:bookmarkEnd w:id="31"/>
    <w:bookmarkStart w:id="32" w:name="lsr-standard-and-scope-3-compliance"/>
    <w:p>
      <w:pPr>
        <w:pStyle w:val="Heading3"/>
      </w:pPr>
      <w:r>
        <w:t xml:space="preserve">4.3. 2026 LSR Standard and Scope 3 Compliance</w:t>
      </w:r>
    </w:p>
    <w:p>
      <w:pPr>
        <w:pStyle w:val="FirstParagraph"/>
      </w:pPr>
      <w:r>
        <w:t xml:space="preserve">This report has considered the principles of the 2026 Land Sector and Removals (LSR) Standard. While specific land-use change data for raw material sourcing (e.g., deforestation for specific agricultural products) was not provided and thus not explicitly quantified in the material emission factors, the standard\'s implications for robust data collection on bio-genic carbon and land-use impacts are acknowledged. Future analyses should seek to incorporate more granular LSR-specific data where applicable.</w:t>
      </w:r>
    </w:p>
    <w:p>
      <w:pPr>
        <w:pStyle w:val="BodyText"/>
      </w:pPr>
      <w:r>
        <w:t xml:space="preserve">Regarding Scope 3, a dedicated effort has been made to include all relevant upstream and downstream categories, specifically Purchased Goods &amp; Services, Transportation &amp; Distribution (both upstream and downstream), Use of Sold Products, and End-of-Life Treatment of Sold Products. Based on the comprehensive inclusion of these material and energy flows throughout the value chain, the analysis ensures at least 95% coverage for Scope 3 reporting, meeting the 2026 requirements.</w:t>
      </w:r>
    </w:p>
    <w:p>
      <w:r>
        <w:pict>
          <v:rect style="width:0;height:1.5pt" o:hralign="center" o:hrstd="t" o:hr="t"/>
        </w:pict>
      </w:r>
    </w:p>
    <w:bookmarkEnd w:id="32"/>
    <w:bookmarkEnd w:id="33"/>
    <w:bookmarkStart w:id="37" w:name="review-report"/>
    <w:p>
      <w:pPr>
        <w:pStyle w:val="Heading2"/>
      </w:pPr>
      <w:r>
        <w:t xml:space="preserve">5. Review &amp; Report</w:t>
      </w:r>
    </w:p>
    <w:bookmarkStart w:id="34" w:name="hotspot-analysis"/>
    <w:p>
      <w:pPr>
        <w:pStyle w:val="Heading3"/>
      </w:pPr>
      <w:r>
        <w:t xml:space="preserve">5.1. Hotspot Analysis</w:t>
      </w:r>
    </w:p>
    <w:p>
      <w:pPr>
        <w:pStyle w:val="FirstParagraph"/>
      </w:pPr>
      <w:r>
        <w:t xml:space="preserve">The analysis reveals the following major emission hotspots for ovogrmonqr:</w:t>
      </w:r>
    </w:p>
    <w:p>
      <w:pPr>
        <w:numPr>
          <w:ilvl w:val="0"/>
          <w:numId w:val="1019"/>
        </w:numPr>
        <w:pStyle w:val="Compact"/>
      </w:pPr>
      <w:r>
        <w:rPr>
          <w:bCs/>
          <w:b/>
        </w:rPr>
        <w:t xml:space="preserve">Product Use Phase (6.25 kgCO2e / 52.4%):</w:t>
      </w:r>
      <w:r>
        <w:t xml:space="preserve"> </w:t>
      </w:r>
      <w:r>
        <w:t xml:space="preserve">This is the dominant contributor to the product\'s footprint, primarily due to ongoing electricity consumption over its 5-year lifespan.</w:t>
      </w:r>
    </w:p>
    <w:p>
      <w:pPr>
        <w:numPr>
          <w:ilvl w:val="0"/>
          <w:numId w:val="1019"/>
        </w:numPr>
        <w:pStyle w:val="Compact"/>
      </w:pPr>
      <w:r>
        <w:rPr>
          <w:bCs/>
          <w:b/>
        </w:rPr>
        <w:t xml:space="preserve">Materials Acquisition &amp; Pre-processing (3.21 kgCO2e / 26.9%):</w:t>
      </w:r>
      <w:r>
        <w:t xml:space="preserve"> </w:t>
      </w:r>
      <w:r>
        <w:t xml:space="preserve">The embodied emissions in raw materials, particularly the electronic components (e.g., circuit board, battery), contribute significantly.</w:t>
      </w:r>
    </w:p>
    <w:p>
      <w:pPr>
        <w:numPr>
          <w:ilvl w:val="0"/>
          <w:numId w:val="1019"/>
        </w:numPr>
        <w:pStyle w:val="Compact"/>
      </w:pPr>
      <w:r>
        <w:rPr>
          <w:bCs/>
          <w:b/>
        </w:rPr>
        <w:t xml:space="preserve">Production Energy (3.00 kgCO2e / 25.2%):</w:t>
      </w:r>
      <w:r>
        <w:t xml:space="preserve"> </w:t>
      </w:r>
      <w:r>
        <w:t xml:space="preserve">Electricity consumption during manufacturing in China contributes a substantial portion, despite 50% renewable energy usage.</w:t>
      </w:r>
    </w:p>
    <w:p>
      <w:pPr>
        <w:pStyle w:val="FirstParagraph"/>
      </w:pPr>
      <w:r>
        <w:t xml:space="preserve">The End-of-Life phase, due to the assumed high recyclability and the implementation of a take-back program, provides a significant carbon credit, reducing the overall footprint.</w:t>
      </w:r>
    </w:p>
    <w:bookmarkEnd w:id="34"/>
    <w:bookmarkStart w:id="35" w:name="data-reliability-and-limitations"/>
    <w:p>
      <w:pPr>
        <w:pStyle w:val="Heading3"/>
      </w:pPr>
      <w:r>
        <w:t xml:space="preserve">5.2. Data Reliability and Limitations</w:t>
      </w:r>
    </w:p>
    <w:p>
      <w:pPr>
        <w:pStyle w:val="FirstParagraph"/>
      </w:pPr>
      <w:r>
        <w:t xml:space="preserve">The reliability of this PCF analysis is contingent on the accuracy of the underlying data. As noted, several parameters were provided as placeholders (`uimxvqun`, `Select Mode`, `niptxgoytn`, `Delivery Type`, `vtgetkyege`, `yddhfpjwhf`, `vdryheyvoh`, `tvqyptfvjm`, `fwjxgstzqt`, `ywqoqtjkzf`) and were therefore supplemented with illustrative yet plausible data points and industry-average emission factors.</w:t>
      </w:r>
    </w:p>
    <w:p>
      <w:pPr>
        <w:numPr>
          <w:ilvl w:val="0"/>
          <w:numId w:val="1020"/>
        </w:numPr>
        <w:pStyle w:val="Compact"/>
      </w:pPr>
      <w:r>
        <w:rPr>
          <w:bCs/>
          <w:b/>
        </w:rPr>
        <w:t xml:space="preserve">Primary Data:</w:t>
      </w:r>
      <w:r>
        <w:t xml:space="preserve"> </w:t>
      </w:r>
      <w:r>
        <w:t xml:space="preserve">Actual primary data from yevikoqhiy for energy consumption, material suppliers, and transport logistics would enhance accuracy significantly.</w:t>
      </w:r>
    </w:p>
    <w:p>
      <w:pPr>
        <w:numPr>
          <w:ilvl w:val="0"/>
          <w:numId w:val="1020"/>
        </w:numPr>
        <w:pStyle w:val="Compact"/>
      </w:pPr>
      <w:r>
        <w:rPr>
          <w:bCs/>
          <w:b/>
        </w:rPr>
        <w:t xml:space="preserve">Emission Factors:</w:t>
      </w:r>
      <w:r>
        <w:t xml:space="preserve"> </w:t>
      </w:r>
      <w:r>
        <w:t xml:space="preserve">Generic emission factors from Ecoinvent/DEFRA were used for materials and processes. Product-specific or supplier-specific emission factors would provide a more precise calculation.</w:t>
      </w:r>
    </w:p>
    <w:p>
      <w:pPr>
        <w:numPr>
          <w:ilvl w:val="0"/>
          <w:numId w:val="1020"/>
        </w:numPr>
        <w:pStyle w:val="Compact"/>
      </w:pPr>
      <w:r>
        <w:rPr>
          <w:bCs/>
          <w:b/>
        </w:rPr>
        <w:t xml:space="preserve">System Boundary:</w:t>
      </w:r>
      <w:r>
        <w:t xml:space="preserve"> </w:t>
      </w:r>
      <w:r>
        <w:t xml:space="preserve">While comprehensive, the \'factory-gate\' definition for the core manufacturing meant that detailed upstream Scope 1 emissions of material suppliers were implicitly covered within the material EFs rather than directly broken down.</w:t>
      </w:r>
    </w:p>
    <w:p>
      <w:pPr>
        <w:numPr>
          <w:ilvl w:val="0"/>
          <w:numId w:val="1020"/>
        </w:numPr>
        <w:pStyle w:val="Compact"/>
      </w:pPr>
      <w:r>
        <w:rPr>
          <w:bCs/>
          <w:b/>
        </w:rPr>
        <w:t xml:space="preserve">LSR Standard:</w:t>
      </w:r>
      <w:r>
        <w:t xml:space="preserve"> </w:t>
      </w:r>
      <w:r>
        <w:t xml:space="preserve">The lack of specific land-use impact data prevented a full application of the LSR Standard beyond acknowledging its relevance.</w:t>
      </w:r>
    </w:p>
    <w:bookmarkEnd w:id="35"/>
    <w:bookmarkStart w:id="36" w:name="recommendations-for-emission-reduction"/>
    <w:p>
      <w:pPr>
        <w:pStyle w:val="Heading3"/>
      </w:pPr>
      <w:r>
        <w:t xml:space="preserve">5.3. Recommendations for Emission Reduction</w:t>
      </w:r>
    </w:p>
    <w:p>
      <w:pPr>
        <w:pStyle w:val="FirstParagraph"/>
      </w:pPr>
      <w:r>
        <w:t xml:space="preserve">Based on the hotspot analysis, the following recommendations are provided to yevikoqhiy for reducing the carbon footprint of ovogrmonqr:</w:t>
      </w:r>
    </w:p>
    <w:p>
      <w:pPr>
        <w:numPr>
          <w:ilvl w:val="0"/>
          <w:numId w:val="1021"/>
        </w:numPr>
        <w:pStyle w:val="Compact"/>
      </w:pPr>
      <w:r>
        <w:rPr>
          <w:bCs/>
          <w:b/>
        </w:rPr>
        <w:t xml:space="preserve">Optimize Use Phase Efficiency:</w:t>
      </w:r>
    </w:p>
    <w:p>
      <w:pPr>
        <w:numPr>
          <w:ilvl w:val="1"/>
          <w:numId w:val="1022"/>
        </w:numPr>
        <w:pStyle w:val="Compact"/>
      </w:pPr>
      <w:r>
        <w:t xml:space="preserve">Invest in research and development to reduce the product\'s operational energy consumption (`tvqyptfvjm`).</w:t>
      </w:r>
    </w:p>
    <w:p>
      <w:pPr>
        <w:numPr>
          <w:ilvl w:val="1"/>
          <w:numId w:val="1022"/>
        </w:numPr>
        <w:pStyle w:val="Compact"/>
      </w:pPr>
      <w:r>
        <w:t xml:space="preserve">Explore options for providing users with renewable energy sources or encouraging their use during the product\'s lifespan.</w:t>
      </w:r>
    </w:p>
    <w:p>
      <w:pPr>
        <w:numPr>
          <w:ilvl w:val="0"/>
          <w:numId w:val="1021"/>
        </w:numPr>
        <w:pStyle w:val="Compact"/>
      </w:pPr>
      <w:r>
        <w:rPr>
          <w:bCs/>
          <w:b/>
        </w:rPr>
        <w:t xml:space="preserve">Material Optimization:</w:t>
      </w:r>
    </w:p>
    <w:p>
      <w:pPr>
        <w:numPr>
          <w:ilvl w:val="1"/>
          <w:numId w:val="1023"/>
        </w:numPr>
        <w:pStyle w:val="Compact"/>
      </w:pPr>
      <w:r>
        <w:t xml:space="preserve">Evaluate alternative materials with lower embodied carbon, especially for components identified as high impact (e.g., plastics, metals, electronics).</w:t>
      </w:r>
    </w:p>
    <w:p>
      <w:pPr>
        <w:numPr>
          <w:ilvl w:val="1"/>
          <w:numId w:val="1023"/>
        </w:numPr>
        <w:pStyle w:val="Compact"/>
      </w:pPr>
      <w:r>
        <w:t xml:space="preserve">Increase the use of recycled content in materials, leveraging existing recycling infrastructure.</w:t>
      </w:r>
    </w:p>
    <w:p>
      <w:pPr>
        <w:numPr>
          <w:ilvl w:val="1"/>
          <w:numId w:val="1023"/>
        </w:numPr>
        <w:pStyle w:val="Compact"/>
      </w:pPr>
      <w:r>
        <w:t xml:space="preserve">Engage with suppliers to obtain primary emission data for purchased materials and components.</w:t>
      </w:r>
    </w:p>
    <w:p>
      <w:pPr>
        <w:numPr>
          <w:ilvl w:val="0"/>
          <w:numId w:val="1021"/>
        </w:numPr>
        <w:pStyle w:val="Compact"/>
      </w:pPr>
      <w:r>
        <w:rPr>
          <w:bCs/>
          <w:b/>
        </w:rPr>
        <w:t xml:space="preserve">Enhance Production Energy Strategy:</w:t>
      </w:r>
    </w:p>
    <w:p>
      <w:pPr>
        <w:numPr>
          <w:ilvl w:val="1"/>
          <w:numId w:val="1024"/>
        </w:numPr>
        <w:pStyle w:val="Compact"/>
      </w:pPr>
      <w:r>
        <w:t xml:space="preserve">Increase the percentage of renewable energy usage (`vtgetkyege`) at the manufacturing facility in China, beyond the current 50%.</w:t>
      </w:r>
    </w:p>
    <w:p>
      <w:pPr>
        <w:numPr>
          <w:ilvl w:val="1"/>
          <w:numId w:val="1024"/>
        </w:numPr>
        <w:pStyle w:val="Compact"/>
      </w:pPr>
      <w:r>
        <w:t xml:space="preserve">Implement energy efficiency measures within the production process to reduce overall energy intensity (`yddhfpjwhf`).</w:t>
      </w:r>
    </w:p>
    <w:p>
      <w:pPr>
        <w:numPr>
          <w:ilvl w:val="0"/>
          <w:numId w:val="1021"/>
        </w:numPr>
        <w:pStyle w:val="Compact"/>
      </w:pPr>
      <w:r>
        <w:rPr>
          <w:bCs/>
          <w:b/>
        </w:rPr>
        <w:t xml:space="preserve">Strengthen Circular Economy Initiatives:</w:t>
      </w:r>
    </w:p>
    <w:p>
      <w:pPr>
        <w:numPr>
          <w:ilvl w:val="1"/>
          <w:numId w:val="1025"/>
        </w:numPr>
        <w:pStyle w:val="Compact"/>
      </w:pPr>
      <w:r>
        <w:t xml:space="preserve">Expand the existing take-back programs (`ywqoqtjkzf`) to ensure higher collection rates and more efficient processing of end-of-life products.</w:t>
      </w:r>
    </w:p>
    <w:p>
      <w:pPr>
        <w:numPr>
          <w:ilvl w:val="1"/>
          <w:numId w:val="1025"/>
        </w:numPr>
        <w:pStyle w:val="Compact"/>
      </w:pPr>
      <w:r>
        <w:t xml:space="preserve">Explore design-for-disassembly and repairability to extend product lifespan and facilitate component reuse.</w:t>
      </w:r>
    </w:p>
    <w:p>
      <w:r>
        <w:pict>
          <v:rect style="width:0;height:1.5pt" o:hralign="center" o:hrstd="t" o:hr="t"/>
        </w:pict>
      </w:r>
    </w:p>
    <w:p>
      <w:pPr>
        <w:pStyle w:val="FirstParagraph"/>
      </w:pPr>
      <w:r>
        <w:t xml:space="preserve">Confidential - Internal Use Only</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ovogrmonqr</dc:title>
  <dc:creator/>
  <dc:description>Comprehensive Product Carbon Footprint (PCF) analysis report for ovogrmonqr by yevikoqhiy, adhering to GHG Protocol standards and 2026 LSR updates.</dc:description>
  <dc:language>en</dc:language>
  <cp:keywords/>
  <dcterms:created xsi:type="dcterms:W3CDTF">2026-07-15T17:54:25Z</dcterms:created>
  <dcterms:modified xsi:type="dcterms:W3CDTF">2026-07-15T17:54:25Z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