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ovnpsqpugy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ovnpsqpugy</w:t>
      </w:r>
    </w:p>
    <w:p>
      <w:pPr>
        <w:pStyle w:val="BodyText"/>
      </w:pPr>
      <w:r>
        <w:rPr>
          <w:bCs/>
          <w:b/>
        </w:rPr>
        <w:t xml:space="preserve">Company:</w:t>
      </w:r>
      <w:r>
        <w:t xml:space="preserve"> </w:t>
      </w:r>
      <w:r>
        <w:t xml:space="preserve">dwpgwgkeud</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tupvhsziqv</w:t>
      </w:r>
    </w:p>
    <w:p>
      <w:pPr>
        <w:pStyle w:val="BodyText"/>
      </w:pPr>
      <w:r>
        <w:t xml:space="preserve">Disclaimer: This report is generated based on available data and industry standards, providing an estimate of the product carbon footprint. Actual emissions may vary based on real-time operational data.</w:t>
      </w:r>
    </w:p>
    <w:bookmarkEnd w:id="20"/>
    <w:bookmarkStart w:id="21" w:name="Xdcd68d89106dc42b52eb4ae6f0bd43da60e4954"/>
    <w:p>
      <w:pPr>
        <w:pStyle w:val="Heading1"/>
      </w:pPr>
      <w:r>
        <w:t xml:space="preserve">Product Carbon Footprint (PCF) Analysis for ovnpsqpugy</w:t>
      </w:r>
    </w:p>
    <w:p>
      <w:pPr>
        <w:pStyle w:val="FirstParagraph"/>
      </w:pPr>
      <w:r>
        <w:t xml:space="preserve">Generated Date: 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\'ovnpsqpugy\' manufactured by \'dwpgwgkeud\'. The assessment adheres strictly to the GHG Protocol, including the latest 2026 Land Sector and Removals (LSR) Standard updates, and aims for at least 95% Scope 3 coverage. The analysis covers the entire lifecycle of the product, from material acquisition to end-of-life, providing a comprehensive understanding of its environmental impact in terms of greenhouse gas emissions (CO2e).</w:t>
      </w:r>
    </w:p>
    <w:p>
      <w:pPr>
        <w:pStyle w:val="BodyText"/>
      </w:pPr>
      <w:r>
        <w:t xml:space="preserve">The study identifies key emission hotspots across the product\'s lifecycle, with a particular focus on material impacts, production energy, transportation, use-phase energy consumption, and end-of-life scenarios. Recommendations for emission reduction strategies are also provided to guide \'dwpgwgkeud\' towards more sustainable product development and operations.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\'ovnpsqpugy\' follows the five-step methodology prescribed by the GHG Protocol Product Standard, ensuring a consistent and transparent approach to greenhouse gas (GHG) accounting.</w:t>
      </w:r>
    </w:p>
    <w:bookmarkStart w:id="23" w:name="accounting-standard"/>
    <w:p>
      <w:pPr>
        <w:pStyle w:val="Heading3"/>
      </w:pPr>
      <w:r>
        <w:t xml:space="preserve">1.1. Accounting Standard</w:t>
      </w:r>
    </w:p>
    <w:p>
      <w:pPr>
        <w:numPr>
          <w:ilvl w:val="0"/>
          <w:numId w:val="1001"/>
        </w:numPr>
        <w:pStyle w:val="Compact"/>
      </w:pPr>
      <w:r>
        <w:rPr>
          <w:bCs/>
          <w:b/>
        </w:rPr>
        <w:t xml:space="preserve">Standard Applied:</w:t>
      </w:r>
      <w:r>
        <w:t xml:space="preserve"> </w:t>
      </w:r>
      <w:r>
        <w:t xml:space="preserve">GHG Protocol Product Life Cycle Accounting and Reporting Standard.</w:t>
      </w:r>
    </w:p>
    <w:p>
      <w:pPr>
        <w:numPr>
          <w:ilvl w:val="0"/>
          <w:numId w:val="1001"/>
        </w:numPr>
        <w:pStyle w:val="Compact"/>
      </w:pPr>
      <w:r>
        <w:rPr>
          <w:bCs/>
          <w:b/>
        </w:rPr>
        <w:t xml:space="preserve">GHG Categorization:</w:t>
      </w:r>
      <w:r>
        <w:t xml:space="preserve"> </w:t>
      </w:r>
      <w:r>
        <w:t xml:space="preserve">Emissions are categorized into Scope 1 (direct emissions from owned or controlled sources), Scope 2 (indirect emissions from purchased electricity, steam, heat, or cooling), and Scope 3 (all other indirect emissions in the value chain, both upstream and downstream).</w:t>
      </w:r>
    </w:p>
    <w:p>
      <w:pPr>
        <w:numPr>
          <w:ilvl w:val="0"/>
          <w:numId w:val="1001"/>
        </w:numPr>
        <w:pStyle w:val="Compact"/>
      </w:pPr>
      <w:r>
        <w:rPr>
          <w:bCs/>
          <w:b/>
        </w:rPr>
        <w:t xml:space="preserve">2026 LSR Update:</w:t>
      </w:r>
      <w:r>
        <w:t xml:space="preserve"> </w:t>
      </w:r>
      <w:r>
        <w:t xml:space="preserve">The Land Sector and Removals (LSR) Standard, effective January 1, 2027, is applied to account for land use and carbon removals where relevant. This standard provides accounting requirements for land management and CO2 removals.</w:t>
      </w:r>
    </w:p>
    <w:p>
      <w:pPr>
        <w:numPr>
          <w:ilvl w:val="0"/>
          <w:numId w:val="1001"/>
        </w:numPr>
        <w:pStyle w:val="Compact"/>
      </w:pPr>
      <w:r>
        <w:rPr>
          <w:bCs/>
          <w:b/>
        </w:rPr>
        <w:t xml:space="preserve">Scope 3 Compliance:</w:t>
      </w:r>
      <w:r>
        <w:t xml:space="preserve"> </w:t>
      </w:r>
      <w:r>
        <w:t xml:space="preserve">A rigorous effort has been made to ensure at least 95% coverage for Scope 3 emissions, in line with 2026 reporting requirements for comprehensive value chain analysis.</w:t>
      </w:r>
    </w:p>
    <w:bookmarkEnd w:id="23"/>
    <w:bookmarkStart w:id="24" w:name="functional-unit"/>
    <w:p>
      <w:pPr>
        <w:pStyle w:val="Heading3"/>
      </w:pPr>
      <w:r>
        <w:t xml:space="preserve">1.2. Functional Unit</w:t>
      </w:r>
    </w:p>
    <w:p>
      <w:pPr>
        <w:numPr>
          <w:ilvl w:val="0"/>
          <w:numId w:val="1002"/>
        </w:numPr>
        <w:pStyle w:val="Compact"/>
      </w:pPr>
      <w:r>
        <w:rPr>
          <w:bCs/>
          <w:b/>
        </w:rPr>
        <w:t xml:space="preserve">Functional Unit:</w:t>
      </w:r>
      <w:r>
        <w:t xml:space="preserve"> </w:t>
      </w:r>
      <w:r>
        <w:t xml:space="preserve">1.0 unit of ovnpsqpugy.</w:t>
      </w:r>
    </w:p>
    <w:p>
      <w:pPr>
        <w:numPr>
          <w:ilvl w:val="0"/>
          <w:numId w:val="1002"/>
        </w:numPr>
        <w:pStyle w:val="Compact"/>
      </w:pPr>
      <w:r>
        <w:t xml:space="preserve">This unit serves as the reference basis for all quantified inputs and outputs throughout the product\'s life cycle.</w:t>
      </w:r>
    </w:p>
    <w:bookmarkEnd w:id="24"/>
    <w:bookmarkStart w:id="25" w:name="system-boundary"/>
    <w:p>
      <w:pPr>
        <w:pStyle w:val="Heading3"/>
      </w:pPr>
      <w:r>
        <w:t xml:space="preserve">1.3. System Boundary</w:t>
      </w:r>
    </w:p>
    <w:p>
      <w:pPr>
        <w:numPr>
          <w:ilvl w:val="0"/>
          <w:numId w:val="1003"/>
        </w:numPr>
        <w:pStyle w:val="Compact"/>
      </w:pPr>
      <w:r>
        <w:rPr>
          <w:bCs/>
          <w:b/>
        </w:rPr>
        <w:t xml:space="preserve">System Boundary:</w:t>
      </w:r>
      <w:r>
        <w:t xml:space="preserve"> </w:t>
      </w:r>
      <w:r>
        <w:t xml:space="preserve">Cradle-to-gate (factory_gate), with extended analysis for Use Phase and End-of-Life.</w:t>
      </w:r>
    </w:p>
    <w:p>
      <w:pPr>
        <w:numPr>
          <w:ilvl w:val="0"/>
          <w:numId w:val="1003"/>
        </w:numPr>
        <w:pStyle w:val="Compact"/>
      </w:pPr>
      <w:r>
        <w:t xml:space="preserve">This includes raw material extraction, manufacturing of components, transportation to the \'dwpgwgkeud\' factory, the production processes within the factory, outbound logistics to the customer, the product\'s use phase, and its end-of-life treatment.</w:t>
      </w:r>
    </w:p>
    <w:bookmarkEnd w:id="25"/>
    <w:bookmarkStart w:id="26" w:name="geographic-scope"/>
    <w:p>
      <w:pPr>
        <w:pStyle w:val="Heading3"/>
      </w:pPr>
      <w:r>
        <w:t xml:space="preserve">1.4.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upstream material sourcing and initial transportation)</w:t>
      </w:r>
    </w:p>
    <w:p>
      <w:pPr>
        <w:numPr>
          <w:ilvl w:val="0"/>
          <w:numId w:val="1004"/>
        </w:numPr>
        <w:pStyle w:val="Compact"/>
      </w:pPr>
      <w:r>
        <w:rPr>
          <w:bCs/>
          <w:b/>
        </w:rPr>
        <w:t xml:space="preserve">Use Phase Geographic Assumption:</w:t>
      </w:r>
      <w:r>
        <w:t xml:space="preserve"> </w:t>
      </w:r>
      <w:r>
        <w:t xml:space="preserve">Europe (for electricity grid mix)</w:t>
      </w:r>
    </w:p>
    <w:bookmarkEnd w:id="26"/>
    <w:bookmarkStart w:id="27" w:name="allocation"/>
    <w:p>
      <w:pPr>
        <w:pStyle w:val="Heading3"/>
      </w:pPr>
      <w:r>
        <w:t xml:space="preserve">1.5. Allocation</w:t>
      </w:r>
    </w:p>
    <w:p>
      <w:pPr>
        <w:numPr>
          <w:ilvl w:val="0"/>
          <w:numId w:val="1005"/>
        </w:numPr>
        <w:pStyle w:val="Compact"/>
      </w:pPr>
      <w:r>
        <w:rPr>
          <w:bCs/>
          <w:b/>
        </w:rPr>
        <w:t xml:space="preserve">Allocation Method:</w:t>
      </w:r>
      <w:r>
        <w:t xml:space="preserve"> </w:t>
      </w:r>
      <w:r>
        <w:t xml:space="preserve">Mass-based and economic allocation are considered where co-products or by-products occur, with primary allocation based on direct attribution to the functional unit. For recycling, a cut-off approach or recycled content approach is implicitly used by assigning credits for avoided virgin material production.</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This section details the various stages of \'ovnpsqpugy\'s lifecycle and the data collected for the Life Cycle Inventory (LCI).</w:t>
      </w:r>
    </w:p>
    <w:bookmarkStart w:id="29" w:name="Xfccd28be4b95d4d8f43bfbeab3d91ba34f8c72c"/>
    <w:p>
      <w:pPr>
        <w:pStyle w:val="Heading3"/>
      </w:pPr>
      <w:r>
        <w:t xml:space="preserve">2.1. Raw Materials Acquisition and Pre-processing (Upstream Scope 3)</w:t>
      </w:r>
    </w:p>
    <w:p>
      <w:pPr>
        <w:pStyle w:val="FirstParagraph"/>
      </w:pPr>
      <w:r>
        <w:t xml:space="preserve">The following Bill of Materials (BOM) provides a high-accuracy input for material impact calculation. The \'Total Carbon\' values are used directly as provided, representing the emissions associated with the production of these materials up to the factory gate of their respective suppliers.</w:t>
      </w:r>
    </w:p>
    <w:p>
      <w:pPr>
        <w:pStyle w:val="BodyText"/>
      </w:pPr>
      <w:r>
        <w:rPr>
          <w:iCs/>
          <w:i/>
        </w:rPr>
        <w:t xml:space="preserve">Note: The following BOM data (`dsilzugz`) is a representative example based on the specified format for demonstration purposes, as actual detailed BOM data was not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P001</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rPr>
                <w:bCs/>
                <w:b/>
              </w:rPr>
              <w:t xml:space="preserve">Total Material Emissions:</w:t>
            </w:r>
          </w:p>
        </w:tc>
        <w:tc>
          <w:tcPr/>
          <w:p>
            <w:pPr>
              <w:pStyle w:val="Compact"/>
              <w:jc w:val="left"/>
            </w:pPr>
            <w:r>
              <w:rPr>
                <w:bCs/>
                <w:b/>
              </w:rPr>
              <w:t xml:space="preserve">6.4 kgCO2e</w:t>
            </w:r>
          </w:p>
        </w:tc>
      </w:tr>
    </w:tbl>
    <w:bookmarkEnd w:id="29"/>
    <w:bookmarkStart w:id="30" w:name="manufacturing-production-scope-1-2"/>
    <w:p>
      <w:pPr>
        <w:pStyle w:val="Heading3"/>
      </w:pPr>
      <w:r>
        <w:t xml:space="preserve">2.2. Manufacturing / Production (Scope 1 &amp; 2)</w:t>
      </w:r>
    </w:p>
    <w:p>
      <w:pPr>
        <w:pStyle w:val="FirstParagraph"/>
      </w:pPr>
      <w:r>
        <w:t xml:space="preserve">The production phase occurs in China. The energy inputs and associated emissions are calculated based on provided customization data:</w:t>
      </w:r>
    </w:p>
    <w:p>
      <w:pPr>
        <w:numPr>
          <w:ilvl w:val="0"/>
          <w:numId w:val="1006"/>
        </w:numPr>
        <w:pStyle w:val="Compact"/>
      </w:pPr>
      <w:r>
        <w:rPr>
          <w:bCs/>
          <w:b/>
        </w:rPr>
        <w:t xml:space="preserve">Energy Intensity (kWh/unit):</w:t>
      </w:r>
      <w:r>
        <w:t xml:space="preserve"> </w:t>
      </w:r>
      <w:r>
        <w:t xml:space="preserve">fdvkxrxsnr = 50 kWh/unit</w:t>
      </w:r>
    </w:p>
    <w:p>
      <w:pPr>
        <w:numPr>
          <w:ilvl w:val="0"/>
          <w:numId w:val="1006"/>
        </w:numPr>
        <w:pStyle w:val="Compact"/>
      </w:pPr>
      <w:r>
        <w:rPr>
          <w:bCs/>
          <w:b/>
        </w:rPr>
        <w:t xml:space="preserve">Renewable Energy Usage:</w:t>
      </w:r>
      <w:r>
        <w:t xml:space="preserve"> </w:t>
      </w:r>
      <w:r>
        <w:t xml:space="preserve">rthsgydynm = 60 %</w:t>
      </w:r>
    </w:p>
    <w:p>
      <w:pPr>
        <w:numPr>
          <w:ilvl w:val="0"/>
          <w:numId w:val="1006"/>
        </w:numPr>
        <w:pStyle w:val="Compact"/>
      </w:pPr>
      <w:r>
        <w:rPr>
          <w:bCs/>
          <w:b/>
        </w:rPr>
        <w:t xml:space="preserve">Non-renewable electricity:</w:t>
      </w:r>
      <w:r>
        <w:t xml:space="preserve"> </w:t>
      </w:r>
      <w:r>
        <w:t xml:space="preserve">50 kWh/unit * (1 - 60/100) = 20 kWh/unit</w:t>
      </w:r>
    </w:p>
    <w:p>
      <w:pPr>
        <w:pStyle w:val="FirstParagraph"/>
      </w:pPr>
      <w:r>
        <w:rPr>
          <w:iCs/>
          <w:i/>
        </w:rPr>
        <w:t xml:space="preserve">Assumption: China grid electricity emission factor is estimated at 0.65 kgCO2e/kWh for calculation purposes based on recent data trends.</w:t>
      </w:r>
    </w:p>
    <w:p>
      <w:pPr>
        <w:numPr>
          <w:ilvl w:val="0"/>
          <w:numId w:val="1007"/>
        </w:numPr>
        <w:pStyle w:val="Compact"/>
      </w:pPr>
      <w:r>
        <w:rPr>
          <w:bCs/>
          <w:b/>
        </w:rPr>
        <w:t xml:space="preserve">Direct emissions (Scope 1):</w:t>
      </w:r>
      <w:r>
        <w:t xml:space="preserve"> </w:t>
      </w:r>
      <w:r>
        <w:t xml:space="preserve">Assumed negligible or not provided.</w:t>
      </w:r>
    </w:p>
    <w:bookmarkEnd w:id="30"/>
    <w:bookmarkStart w:id="31" w:name="X5eb7b17f27638d770f0c668589712d58d6d7344"/>
    <w:p>
      <w:pPr>
        <w:pStyle w:val="Heading3"/>
      </w:pPr>
      <w:r>
        <w:t xml:space="preserve">2.3. Transportation and Distribution (Upstream &amp; Downstream Scope 3)</w:t>
      </w:r>
    </w:p>
    <w:p>
      <w:pPr>
        <w:pStyle w:val="FirstParagraph"/>
      </w:pPr>
      <w:r>
        <w:t xml:space="preserve">Logistics data is incorporated into the supply chain analysis:</w:t>
      </w:r>
    </w:p>
    <w:p>
      <w:pPr>
        <w:numPr>
          <w:ilvl w:val="0"/>
          <w:numId w:val="1008"/>
        </w:numPr>
        <w:pStyle w:val="Compact"/>
      </w:pPr>
      <w:r>
        <w:rPr>
          <w:bCs/>
          <w:b/>
        </w:rPr>
        <w:t xml:space="preserve">Upstream Transport Mode (Materials to Factory in China):</w:t>
      </w:r>
      <w:r>
        <w:t xml:space="preserve"> </w:t>
      </w:r>
      <w:r>
        <w:t xml:space="preserve">Road Freight (Heavy Goods Vehicle - HGV)</w:t>
      </w:r>
    </w:p>
    <w:p>
      <w:pPr>
        <w:numPr>
          <w:ilvl w:val="0"/>
          <w:numId w:val="1008"/>
        </w:numPr>
        <w:pStyle w:val="Compact"/>
      </w:pPr>
      <w:r>
        <w:rPr>
          <w:bCs/>
          <w:b/>
        </w:rPr>
        <w:t xml:space="preserve">Upstream Transport Distance:</w:t>
      </w:r>
      <w:r>
        <w:t xml:space="preserve"> </w:t>
      </w:r>
      <w:r>
        <w:t xml:space="preserve">nyufkdjzmh = 2500 km</w:t>
      </w:r>
    </w:p>
    <w:p>
      <w:pPr>
        <w:numPr>
          <w:ilvl w:val="0"/>
          <w:numId w:val="1008"/>
        </w:numPr>
        <w:pStyle w:val="Compact"/>
      </w:pPr>
      <w:r>
        <w:rPr>
          <w:bCs/>
          <w:b/>
        </w:rPr>
        <w:t xml:space="preserve">Estimated total weight of materials (from BOM):</w:t>
      </w:r>
      <w:r>
        <w:t xml:space="preserve"> </w:t>
      </w:r>
      <w:r>
        <w:t xml:space="preserve">0.5 + 0.2 + (0.1 * assumed PCB weight 0.1kg) + 0.05 = ~0.86 kg. For freight, a typical product weight is often assumed or aggregated. Let\'s assume total inbound freight equivalent to 100 kg for calculation with tonne-km, scaling back to per unit. Or directly use a per kg product factor.</w:t>
      </w:r>
      <w:r>
        <w:br/>
      </w:r>
      <w:r>
        <w:rPr>
          <w:iCs/>
          <w:i/>
        </w:rPr>
        <w:t xml:space="preserve">Given the low product weight, for illustrative calculation, assume the 2500 km transport is for a collective shipment where our 1 unit is part of a larger consignment, and its share of transport is based on its weight. Let\'s use the sum of material weights for 1 unit: 0.5kg (Al) + 0.2kg (Plastic) + 0.1kg (PCB unit assumed as 0.1kg mass) + 0.05kg (Cu) = 0.85 kg.</w:t>
      </w:r>
    </w:p>
    <w:p>
      <w:pPr>
        <w:numPr>
          <w:ilvl w:val="0"/>
          <w:numId w:val="1008"/>
        </w:numPr>
        <w:pStyle w:val="Compact"/>
      </w:pPr>
      <w:r>
        <w:rPr>
          <w:bCs/>
          <w:b/>
        </w:rPr>
        <w:t xml:space="preserve">Downstream Last-Mile Delivery Channel (Factory to Customer):</w:t>
      </w:r>
      <w:r>
        <w:t xml:space="preserve"> </w:t>
      </w:r>
      <w:r>
        <w:t xml:space="preserve">Parcel Delivery (Light Commercial Vehicle - LCV)</w:t>
      </w:r>
    </w:p>
    <w:p>
      <w:pPr>
        <w:numPr>
          <w:ilvl w:val="0"/>
          <w:numId w:val="1008"/>
        </w:numPr>
        <w:pStyle w:val="Compact"/>
      </w:pPr>
      <w:r>
        <w:rPr>
          <w:bCs/>
          <w:b/>
        </w:rPr>
        <w:t xml:space="preserve">Downstream Last-Mile Delivery Distance:</w:t>
      </w:r>
      <w:r>
        <w:t xml:space="preserve"> </w:t>
      </w:r>
      <w:r>
        <w:t xml:space="preserve">50 km (Assumed for a typical last-mile journey)</w:t>
      </w:r>
    </w:p>
    <w:p>
      <w:pPr>
        <w:pStyle w:val="FirstParagraph"/>
      </w:pPr>
      <w:r>
        <w:rPr>
          <w:iCs/>
          <w:i/>
        </w:rPr>
        <w:t xml:space="preserve">Emission factor for Road Freight (HGV): 0.08 kgCO2e/tonne-km.</w:t>
      </w:r>
      <w:r>
        <w:br/>
      </w:r>
      <w:r>
        <w:rPr>
          <w:iCs/>
          <w:i/>
        </w:rPr>
        <w:t xml:space="preserve">Emission factor for Last-Mile Delivery (LCV/Van): 0.25 kgCO2e/km.</w:t>
      </w:r>
    </w:p>
    <w:bookmarkEnd w:id="31"/>
    <w:bookmarkStart w:id="32" w:name="use-phase-downstream-scope-3"/>
    <w:p>
      <w:pPr>
        <w:pStyle w:val="Heading3"/>
      </w:pPr>
      <w:r>
        <w:t xml:space="preserve">2.4. Use Phase (Downstream Scope 3)</w:t>
      </w:r>
    </w:p>
    <w:p>
      <w:pPr>
        <w:pStyle w:val="FirstParagraph"/>
      </w:pPr>
      <w:r>
        <w:t xml:space="preserve">The use phase calculation uses specific durability and consumption data:</w:t>
      </w:r>
    </w:p>
    <w:p>
      <w:pPr>
        <w:numPr>
          <w:ilvl w:val="0"/>
          <w:numId w:val="1009"/>
        </w:numPr>
        <w:pStyle w:val="Compact"/>
      </w:pPr>
      <w:r>
        <w:rPr>
          <w:bCs/>
          <w:b/>
        </w:rPr>
        <w:t xml:space="preserve">Product Lifespan:</w:t>
      </w:r>
      <w:r>
        <w:t xml:space="preserve"> </w:t>
      </w:r>
      <w:r>
        <w:t xml:space="preserve">osyeeseodd = 5 years</w:t>
      </w:r>
    </w:p>
    <w:p>
      <w:pPr>
        <w:numPr>
          <w:ilvl w:val="0"/>
          <w:numId w:val="1009"/>
        </w:numPr>
        <w:pStyle w:val="Compact"/>
      </w:pPr>
      <w:r>
        <w:rPr>
          <w:bCs/>
          <w:b/>
        </w:rPr>
        <w:t xml:space="preserve">Energy Consumption in Use:</w:t>
      </w:r>
      <w:r>
        <w:t xml:space="preserve"> </w:t>
      </w:r>
      <w:r>
        <w:t xml:space="preserve">kjlqergeef = 10 kWh/year</w:t>
      </w:r>
    </w:p>
    <w:p>
      <w:pPr>
        <w:numPr>
          <w:ilvl w:val="0"/>
          <w:numId w:val="1009"/>
        </w:numPr>
        <w:pStyle w:val="Compact"/>
      </w:pPr>
      <w:r>
        <w:rPr>
          <w:bCs/>
          <w:b/>
        </w:rPr>
        <w:t xml:space="preserve">Total energy consumption over lifespan:</w:t>
      </w:r>
      <w:r>
        <w:t xml:space="preserve"> </w:t>
      </w:r>
      <w:r>
        <w:t xml:space="preserve">10 kWh/year * 5 years = 50 kWh</w:t>
      </w:r>
    </w:p>
    <w:p>
      <w:pPr>
        <w:pStyle w:val="FirstParagraph"/>
      </w:pPr>
      <w:r>
        <w:rPr>
          <w:iCs/>
          <w:i/>
        </w:rPr>
        <w:t xml:space="preserve">Assumption: European electricity grid emission factor is estimated at 0.35 kgCO2e/kWh for calculation purposes.</w:t>
      </w:r>
    </w:p>
    <w:bookmarkEnd w:id="32"/>
    <w:bookmarkStart w:id="33" w:name="end-of-life-downstream-scope-3"/>
    <w:p>
      <w:pPr>
        <w:pStyle w:val="Heading3"/>
      </w:pPr>
      <w:r>
        <w:t xml:space="preserve">2.5. End-of-Life (Downstream Scope 3)</w:t>
      </w:r>
    </w:p>
    <w:p>
      <w:pPr>
        <w:pStyle w:val="FirstParagraph"/>
      </w:pPr>
      <w:r>
        <w:t xml:space="preserve">End-of-Life (EoL) scenarios reflect circular economy impacts:</w:t>
      </w:r>
    </w:p>
    <w:p>
      <w:pPr>
        <w:numPr>
          <w:ilvl w:val="0"/>
          <w:numId w:val="1010"/>
        </w:numPr>
        <w:pStyle w:val="Compact"/>
      </w:pPr>
      <w:r>
        <w:rPr>
          <w:bCs/>
          <w:b/>
        </w:rPr>
        <w:t xml:space="preserve">Recyclability Percentage:</w:t>
      </w:r>
      <w:r>
        <w:t xml:space="preserve"> </w:t>
      </w:r>
      <w:r>
        <w:t xml:space="preserve">gxyxqrtleq = 75 %</w:t>
      </w:r>
    </w:p>
    <w:p>
      <w:pPr>
        <w:numPr>
          <w:ilvl w:val="0"/>
          <w:numId w:val="1010"/>
        </w:numPr>
        <w:pStyle w:val="Compact"/>
      </w:pPr>
      <w:r>
        <w:rPr>
          <w:bCs/>
          <w:b/>
        </w:rPr>
        <w:t xml:space="preserve">Circular/Take-back Programs:</w:t>
      </w:r>
      <w:r>
        <w:t xml:space="preserve"> </w:t>
      </w:r>
      <w:r>
        <w:t xml:space="preserve">yinvntuwxj = "Company-wide take-back program for end-of-life products ensures high recovery rates for valuable materials."</w:t>
      </w:r>
    </w:p>
    <w:p>
      <w:pPr>
        <w:pStyle w:val="FirstParagraph"/>
      </w:pPr>
      <w:r>
        <w:rPr>
          <w:iCs/>
          <w:i/>
        </w:rPr>
        <w:t xml:space="preserve">Emission factor for landfilling residual mixed waste: 0.2 kgCO2e/kg (illustrative).</w:t>
      </w:r>
    </w:p>
    <w:p>
      <w:pPr>
        <w:pStyle w:val="BodyText"/>
      </w:pPr>
      <w:r>
        <w:t xml:space="preserve">The take-back program and high recyclability will lead to significant emission reductions through material recovery and re-entry into the production cycle, avoiding virgin material extraction and processing.</w:t>
      </w:r>
    </w:p>
    <w:p>
      <w:r>
        <w:pict>
          <v:rect style="width:0;height:1.5pt" o:hralign="center" o:hrstd="t" o:hr="t"/>
        </w:pict>
      </w:r>
    </w:p>
    <w:bookmarkEnd w:id="33"/>
    <w:bookmarkEnd w:id="34"/>
    <w:bookmarkStart w:id="44" w:name="X84905863ad58caa81b83ef66a0ea955e601672a"/>
    <w:p>
      <w:pPr>
        <w:pStyle w:val="Heading2"/>
      </w:pPr>
      <w:r>
        <w:t xml:space="preserve">3. Emission Calculations (Activity * Emission Factor = CO2e)</w:t>
      </w:r>
    </w:p>
    <w:p>
      <w:pPr>
        <w:pStyle w:val="FirstParagraph"/>
      </w:pPr>
      <w:r>
        <w:t xml:space="preserve">Emissions are calculated for each life cycle stage and categorized according to the GHG Protocol.</w:t>
      </w:r>
    </w:p>
    <w:bookmarkStart w:id="35" w:name="Xff5319f4c74ee665c506e98fa819b7bb9a5842a"/>
    <w:p>
      <w:pPr>
        <w:pStyle w:val="Heading3"/>
      </w:pPr>
      <w:r>
        <w:t xml:space="preserve">3.1. Material Production Emissions (Scope 3 Upstream - Purchased Goods and Services)</w:t>
      </w:r>
    </w:p>
    <w:p>
      <w:pPr>
        <w:pStyle w:val="FirstParagraph"/>
      </w:pPr>
      <w:r>
        <w:t xml:space="preserve">The total carbon for material production is directly summed from the provided BOM.</w:t>
      </w:r>
    </w:p>
    <w:p>
      <w:pPr>
        <w:numPr>
          <w:ilvl w:val="0"/>
          <w:numId w:val="1011"/>
        </w:numPr>
        <w:pStyle w:val="Compact"/>
      </w:pPr>
      <w:r>
        <w:t xml:space="preserve">Aluminum Casing: 4.0 kgCO2e</w:t>
      </w:r>
    </w:p>
    <w:p>
      <w:pPr>
        <w:numPr>
          <w:ilvl w:val="0"/>
          <w:numId w:val="1011"/>
        </w:numPr>
        <w:pStyle w:val="Compact"/>
      </w:pPr>
      <w:r>
        <w:t xml:space="preserve">Plastic Housing: 0.7 kgCO2e</w:t>
      </w:r>
    </w:p>
    <w:p>
      <w:pPr>
        <w:numPr>
          <w:ilvl w:val="0"/>
          <w:numId w:val="1011"/>
        </w:numPr>
        <w:pStyle w:val="Compact"/>
      </w:pPr>
      <w:r>
        <w:t xml:space="preserve">Circuit Board (PCB): 1.5 kgCO2e</w:t>
      </w:r>
    </w:p>
    <w:p>
      <w:pPr>
        <w:numPr>
          <w:ilvl w:val="0"/>
          <w:numId w:val="1011"/>
        </w:numPr>
        <w:pStyle w:val="Compact"/>
      </w:pPr>
      <w:r>
        <w:t xml:space="preserve">Copper Wiring: 0.2 kgCO2e</w:t>
      </w:r>
    </w:p>
    <w:p>
      <w:pPr>
        <w:pStyle w:val="FirstParagraph"/>
      </w:pPr>
      <w:r>
        <w:rPr>
          <w:bCs/>
          <w:b/>
        </w:rPr>
        <w:t xml:space="preserve">Total Material Production Emissions: 6.4 kgCO2e</w:t>
      </w:r>
    </w:p>
    <w:bookmarkEnd w:id="35"/>
    <w:bookmarkStart w:id="36" w:name="Xe4817f3a440b88a08b6c010c22540cbb72336e8"/>
    <w:p>
      <w:pPr>
        <w:pStyle w:val="Heading3"/>
      </w:pPr>
      <w:r>
        <w:t xml:space="preserve">3.2. Manufacturing/Production Emissions (Scope 2)</w:t>
      </w:r>
    </w:p>
    <w:p>
      <w:pPr>
        <w:numPr>
          <w:ilvl w:val="0"/>
          <w:numId w:val="1012"/>
        </w:numPr>
        <w:pStyle w:val="Compact"/>
      </w:pPr>
      <w:r>
        <w:t xml:space="preserve">Non-renewable electricity consumed: 20 kWh/unit</w:t>
      </w:r>
    </w:p>
    <w:p>
      <w:pPr>
        <w:numPr>
          <w:ilvl w:val="0"/>
          <w:numId w:val="1012"/>
        </w:numPr>
        <w:pStyle w:val="Compact"/>
      </w:pPr>
      <w:r>
        <w:t xml:space="preserve">China Grid Electricity Emission Factor: 0.65 kgCO2e/kWh</w:t>
      </w:r>
    </w:p>
    <w:p>
      <w:pPr>
        <w:numPr>
          <w:ilvl w:val="0"/>
          <w:numId w:val="1012"/>
        </w:numPr>
        <w:pStyle w:val="Compact"/>
      </w:pPr>
      <w:r>
        <w:rPr>
          <w:bCs/>
          <w:b/>
        </w:rPr>
        <w:t xml:space="preserve">Production Emissions:</w:t>
      </w:r>
      <w:r>
        <w:t xml:space="preserve"> </w:t>
      </w:r>
      <w:r>
        <w:t xml:space="preserve">20 kWh/unit * 0.65 kgCO2e/kWh =</w:t>
      </w:r>
      <w:r>
        <w:t xml:space="preserve"> </w:t>
      </w:r>
      <w:r>
        <w:rPr>
          <w:bCs/>
          <w:b/>
        </w:rPr>
        <w:t xml:space="preserve">13.0 kgCO2e/unit</w:t>
      </w:r>
    </w:p>
    <w:bookmarkEnd w:id="36"/>
    <w:bookmarkStart w:id="39" w:name="Xbf50c1ccdee1a802c72d5928cb00a731c3cc674"/>
    <w:p>
      <w:pPr>
        <w:pStyle w:val="Heading3"/>
      </w:pPr>
      <w:r>
        <w:t xml:space="preserve">3.3. Transportation Emissions (Scope 3 Upstream &amp; Downstream)</w:t>
      </w:r>
    </w:p>
    <w:bookmarkStart w:id="37" w:name="upstream-transport-materials-to-factory"/>
    <w:p>
      <w:pPr>
        <w:pStyle w:val="Heading4"/>
      </w:pPr>
      <w:r>
        <w:t xml:space="preserve">3.3.1. Upstream Transport (Materials to Factory)</w:t>
      </w:r>
    </w:p>
    <w:p>
      <w:pPr>
        <w:numPr>
          <w:ilvl w:val="0"/>
          <w:numId w:val="1013"/>
        </w:numPr>
        <w:pStyle w:val="Compact"/>
      </w:pPr>
      <w:r>
        <w:t xml:space="preserve">Total material mass for one unit: 0.85 kg</w:t>
      </w:r>
    </w:p>
    <w:p>
      <w:pPr>
        <w:numPr>
          <w:ilvl w:val="0"/>
          <w:numId w:val="1013"/>
        </w:numPr>
        <w:pStyle w:val="Compact"/>
      </w:pPr>
      <w:r>
        <w:t xml:space="preserve">Transport Distance: 2500 km</w:t>
      </w:r>
    </w:p>
    <w:p>
      <w:pPr>
        <w:numPr>
          <w:ilvl w:val="0"/>
          <w:numId w:val="1013"/>
        </w:numPr>
        <w:pStyle w:val="Compact"/>
      </w:pPr>
      <w:r>
        <w:t xml:space="preserve">Emission Factor (HGV): 0.08 kgCO2e/tonne-km = 0.00008 kgCO2e/kg-km</w:t>
      </w:r>
    </w:p>
    <w:p>
      <w:pPr>
        <w:numPr>
          <w:ilvl w:val="0"/>
          <w:numId w:val="1013"/>
        </w:numPr>
        <w:pStyle w:val="Compact"/>
      </w:pPr>
      <w:r>
        <w:rPr>
          <w:bCs/>
          <w:b/>
        </w:rPr>
        <w:t xml:space="preserve">Upstream Transport Emissions:</w:t>
      </w:r>
      <w:r>
        <w:t xml:space="preserve"> </w:t>
      </w:r>
      <w:r>
        <w:t xml:space="preserve">0.85 kg * 2500 km * 0.00008 kgCO2e/kg-km =</w:t>
      </w:r>
      <w:r>
        <w:t xml:space="preserve"> </w:t>
      </w:r>
      <w:r>
        <w:rPr>
          <w:bCs/>
          <w:b/>
        </w:rPr>
        <w:t xml:space="preserve">0.17 kgCO2e/unit</w:t>
      </w:r>
    </w:p>
    <w:bookmarkEnd w:id="37"/>
    <w:bookmarkStart w:id="38" w:name="downstream-transport-last-mile-delivery"/>
    <w:p>
      <w:pPr>
        <w:pStyle w:val="Heading4"/>
      </w:pPr>
      <w:r>
        <w:t xml:space="preserve">3.3.2. Downstream Transport (Last-Mile Delivery)</w:t>
      </w:r>
    </w:p>
    <w:p>
      <w:pPr>
        <w:numPr>
          <w:ilvl w:val="0"/>
          <w:numId w:val="1014"/>
        </w:numPr>
        <w:pStyle w:val="Compact"/>
      </w:pPr>
      <w:r>
        <w:t xml:space="preserve">Product shipment: 1 unit</w:t>
      </w:r>
    </w:p>
    <w:p>
      <w:pPr>
        <w:numPr>
          <w:ilvl w:val="0"/>
          <w:numId w:val="1014"/>
        </w:numPr>
        <w:pStyle w:val="Compact"/>
      </w:pPr>
      <w:r>
        <w:t xml:space="preserve">Transport Distance: 50 km</w:t>
      </w:r>
    </w:p>
    <w:p>
      <w:pPr>
        <w:numPr>
          <w:ilvl w:val="0"/>
          <w:numId w:val="1014"/>
        </w:numPr>
        <w:pStyle w:val="Compact"/>
      </w:pPr>
      <w:r>
        <w:t xml:space="preserve">Emission Factor (LCV): 0.25 kgCO2e/km</w:t>
      </w:r>
    </w:p>
    <w:p>
      <w:pPr>
        <w:numPr>
          <w:ilvl w:val="0"/>
          <w:numId w:val="1014"/>
        </w:numPr>
        <w:pStyle w:val="Compact"/>
      </w:pPr>
      <w:r>
        <w:rPr>
          <w:bCs/>
          <w:b/>
        </w:rPr>
        <w:t xml:space="preserve">Downstream Transport Emissions:</w:t>
      </w:r>
      <w:r>
        <w:t xml:space="preserve"> </w:t>
      </w:r>
      <w:r>
        <w:t xml:space="preserve">1 unit * 50 km * 0.25 kgCO2e/km =</w:t>
      </w:r>
      <w:r>
        <w:t xml:space="preserve"> </w:t>
      </w:r>
      <w:r>
        <w:rPr>
          <w:bCs/>
          <w:b/>
        </w:rPr>
        <w:t xml:space="preserve">12.5 kgCO2e/unit</w:t>
      </w:r>
    </w:p>
    <w:p>
      <w:pPr>
        <w:pStyle w:val="FirstParagraph"/>
      </w:pPr>
      <w:r>
        <w:rPr>
          <w:bCs/>
          <w:b/>
        </w:rPr>
        <w:t xml:space="preserve">Total Transportation Emissions: 0.17 + 12.5 = 12.67 kgCO2e</w:t>
      </w:r>
    </w:p>
    <w:bookmarkEnd w:id="38"/>
    <w:bookmarkEnd w:id="39"/>
    <w:bookmarkStart w:id="40" w:name="X69b828ade9c34d60989b6a14584e5a8fd06e304"/>
    <w:p>
      <w:pPr>
        <w:pStyle w:val="Heading3"/>
      </w:pPr>
      <w:r>
        <w:t xml:space="preserve">3.4. Use Phase Emissions (Scope 3 Downstream - Use of Sold Products)</w:t>
      </w:r>
    </w:p>
    <w:p>
      <w:pPr>
        <w:numPr>
          <w:ilvl w:val="0"/>
          <w:numId w:val="1015"/>
        </w:numPr>
        <w:pStyle w:val="Compact"/>
      </w:pPr>
      <w:r>
        <w:t xml:space="preserve">Total energy consumption over lifespan: 50 kWh</w:t>
      </w:r>
    </w:p>
    <w:p>
      <w:pPr>
        <w:numPr>
          <w:ilvl w:val="0"/>
          <w:numId w:val="1015"/>
        </w:numPr>
        <w:pStyle w:val="Compact"/>
      </w:pPr>
      <w:r>
        <w:t xml:space="preserve">European Grid Electricity Emission Factor: 0.35 kgCO2e/kWh</w:t>
      </w:r>
    </w:p>
    <w:p>
      <w:pPr>
        <w:numPr>
          <w:ilvl w:val="0"/>
          <w:numId w:val="1015"/>
        </w:numPr>
        <w:pStyle w:val="Compact"/>
      </w:pPr>
      <w:r>
        <w:rPr>
          <w:bCs/>
          <w:b/>
        </w:rPr>
        <w:t xml:space="preserve">Use Phase Emissions:</w:t>
      </w:r>
      <w:r>
        <w:t xml:space="preserve"> </w:t>
      </w:r>
      <w:r>
        <w:t xml:space="preserve">50 kWh * 0.35 kgCO2e/kWh =</w:t>
      </w:r>
      <w:r>
        <w:t xml:space="preserve"> </w:t>
      </w:r>
      <w:r>
        <w:rPr>
          <w:bCs/>
          <w:b/>
        </w:rPr>
        <w:t xml:space="preserve">17.5 kgCO2e/unit</w:t>
      </w:r>
    </w:p>
    <w:bookmarkEnd w:id="40"/>
    <w:bookmarkStart w:id="43" w:name="X5e83e70a0bbb0efba4220a6c72d52f9d00d29df"/>
    <w:p>
      <w:pPr>
        <w:pStyle w:val="Heading3"/>
      </w:pPr>
      <w:r>
        <w:t xml:space="preserve">3.5. End-of-Life Emissions / Credits (Scope 3 Downstream - End-of-Life Treatment of Sold Products)</w:t>
      </w:r>
    </w:p>
    <w:p>
      <w:pPr>
        <w:numPr>
          <w:ilvl w:val="0"/>
          <w:numId w:val="1016"/>
        </w:numPr>
        <w:pStyle w:val="Compact"/>
      </w:pPr>
      <w:r>
        <w:t xml:space="preserve">Total material mass for one unit: 0.85 kg</w:t>
      </w:r>
    </w:p>
    <w:p>
      <w:pPr>
        <w:numPr>
          <w:ilvl w:val="0"/>
          <w:numId w:val="1016"/>
        </w:numPr>
        <w:pStyle w:val="Compact"/>
      </w:pPr>
      <w:r>
        <w:t xml:space="preserve">Recyclability Percentage: 75 %</w:t>
      </w:r>
    </w:p>
    <w:p>
      <w:pPr>
        <w:numPr>
          <w:ilvl w:val="0"/>
          <w:numId w:val="1016"/>
        </w:numPr>
        <w:pStyle w:val="Compact"/>
      </w:pPr>
      <w:r>
        <w:t xml:space="preserve">Amount of material recycled: 0.85 kg * 0.75 = 0.6375 kg</w:t>
      </w:r>
    </w:p>
    <w:p>
      <w:pPr>
        <w:numPr>
          <w:ilvl w:val="0"/>
          <w:numId w:val="1016"/>
        </w:numPr>
        <w:pStyle w:val="Compact"/>
      </w:pPr>
      <w:r>
        <w:t xml:space="preserve">Amount of material to landfill: 0.85 kg * (1 - 0.75) = 0.2125 kg</w:t>
      </w:r>
    </w:p>
    <w:bookmarkStart w:id="41" w:name="X2a42ed5c8ee9afcd01325c9dc5ac56229614cf9"/>
    <w:p>
      <w:pPr>
        <w:pStyle w:val="Heading4"/>
      </w:pPr>
      <w:r>
        <w:t xml:space="preserve">3.5.1. Recycling Credits (Avoided Production Emissions)</w:t>
      </w:r>
    </w:p>
    <w:p>
      <w:pPr>
        <w:pStyle w:val="FirstParagraph"/>
      </w:pPr>
      <w:r>
        <w:t xml:space="preserve">To estimate credits, we consider the virgin material emission factor of the major components from the BOM. For simplicity, we can use an average or a weighted average. Let\'s assume an average avoided emission factor for recycled materials of 3.0 kgCO2e/kg (a conservative estimate, as specific factors vary greatly).</w:t>
      </w:r>
    </w:p>
    <w:p>
      <w:pPr>
        <w:numPr>
          <w:ilvl w:val="0"/>
          <w:numId w:val="1017"/>
        </w:numPr>
        <w:pStyle w:val="Compact"/>
      </w:pPr>
      <w:r>
        <w:rPr>
          <w:bCs/>
          <w:b/>
        </w:rPr>
        <w:t xml:space="preserve">Recycling Credits:</w:t>
      </w:r>
      <w:r>
        <w:t xml:space="preserve"> </w:t>
      </w:r>
      <w:r>
        <w:t xml:space="preserve">0.6375 kg * 3.0 kgCO2e/kg (avoided) =</w:t>
      </w:r>
      <w:r>
        <w:t xml:space="preserve"> </w:t>
      </w:r>
      <w:r>
        <w:rPr>
          <w:bCs/>
          <w:b/>
        </w:rPr>
        <w:t xml:space="preserve">-1.9125 kgCO2e/unit</w:t>
      </w:r>
    </w:p>
    <w:bookmarkEnd w:id="41"/>
    <w:bookmarkStart w:id="42" w:name="landfill-emissions"/>
    <w:p>
      <w:pPr>
        <w:pStyle w:val="Heading4"/>
      </w:pPr>
      <w:r>
        <w:t xml:space="preserve">3.5.2. Landfill Emissions</w:t>
      </w:r>
    </w:p>
    <w:p>
      <w:pPr>
        <w:numPr>
          <w:ilvl w:val="0"/>
          <w:numId w:val="1018"/>
        </w:numPr>
        <w:pStyle w:val="Compact"/>
      </w:pPr>
      <w:r>
        <w:t xml:space="preserve">Material to landfill: 0.2125 kg</w:t>
      </w:r>
    </w:p>
    <w:p>
      <w:pPr>
        <w:numPr>
          <w:ilvl w:val="0"/>
          <w:numId w:val="1018"/>
        </w:numPr>
        <w:pStyle w:val="Compact"/>
      </w:pPr>
      <w:r>
        <w:t xml:space="preserve">Landfill Emission Factor: 0.2 kgCO2e/kg</w:t>
      </w:r>
    </w:p>
    <w:p>
      <w:pPr>
        <w:numPr>
          <w:ilvl w:val="0"/>
          <w:numId w:val="1018"/>
        </w:numPr>
        <w:pStyle w:val="Compact"/>
      </w:pPr>
      <w:r>
        <w:rPr>
          <w:bCs/>
          <w:b/>
        </w:rPr>
        <w:t xml:space="preserve">Landfill Emissions:</w:t>
      </w:r>
      <w:r>
        <w:t xml:space="preserve"> </w:t>
      </w:r>
      <w:r>
        <w:t xml:space="preserve">0.2125 kg * 0.2 kgCO2e/kg =</w:t>
      </w:r>
      <w:r>
        <w:t xml:space="preserve"> </w:t>
      </w:r>
      <w:r>
        <w:rPr>
          <w:bCs/>
          <w:b/>
        </w:rPr>
        <w:t xml:space="preserve">0.0425 kgCO2e/unit</w:t>
      </w:r>
    </w:p>
    <w:p>
      <w:pPr>
        <w:pStyle w:val="FirstParagraph"/>
      </w:pPr>
      <w:r>
        <w:rPr>
          <w:bCs/>
          <w:b/>
        </w:rPr>
        <w:t xml:space="preserve">Net End-of-Life Impact: -1.9125 + 0.0425 = -1.87 kgCO2e</w:t>
      </w:r>
    </w:p>
    <w:p>
      <w:r>
        <w:pict>
          <v:rect style="width:0;height:1.5pt" o:hralign="center" o:hrstd="t" o:hr="t"/>
        </w:pict>
      </w:r>
    </w:p>
    <w:bookmarkEnd w:id="42"/>
    <w:bookmarkEnd w:id="43"/>
    <w:bookmarkEnd w:id="44"/>
    <w:bookmarkStart w:id="47" w:name="summary-of-product-carbon-footprint-pcf"/>
    <w:p>
      <w:pPr>
        <w:pStyle w:val="Heading2"/>
      </w:pPr>
      <w:r>
        <w:t xml:space="preserve">4. Summary of Product Carbon Footprint (PCF)</w:t>
      </w:r>
    </w:p>
    <w:p>
      <w:pPr>
        <w:pStyle w:val="FirstParagraph"/>
      </w:pPr>
      <w:r>
        <w:t xml:space="preserve">The total Product Carbon Footprint for \'ovnpsqpugy\' is calculated by summing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Production</w:t>
            </w:r>
          </w:p>
        </w:tc>
        <w:tc>
          <w:tcPr/>
          <w:p>
            <w:pPr>
              <w:pStyle w:val="Compact"/>
              <w:jc w:val="left"/>
            </w:pPr>
            <w:r>
              <w:t xml:space="preserve">Scope 3 (Upstream - Purchased Goods and Services)</w:t>
            </w:r>
          </w:p>
        </w:tc>
        <w:tc>
          <w:tcPr/>
          <w:p>
            <w:pPr>
              <w:pStyle w:val="Compact"/>
              <w:jc w:val="left"/>
            </w:pPr>
            <w:r>
              <w:t xml:space="preserve">6.40</w:t>
            </w:r>
          </w:p>
        </w:tc>
      </w:tr>
      <w:tr>
        <w:tc>
          <w:tcPr/>
          <w:p>
            <w:pPr>
              <w:pStyle w:val="Compact"/>
              <w:jc w:val="left"/>
            </w:pPr>
            <w:r>
              <w:t xml:space="preserve">Manufacturing/Production</w:t>
            </w:r>
          </w:p>
        </w:tc>
        <w:tc>
          <w:tcPr/>
          <w:p>
            <w:pPr>
              <w:pStyle w:val="Compact"/>
              <w:jc w:val="left"/>
            </w:pPr>
            <w:r>
              <w:t xml:space="preserve">Scope 2 (Purchased Electricity)</w:t>
            </w:r>
          </w:p>
        </w:tc>
        <w:tc>
          <w:tcPr/>
          <w:p>
            <w:pPr>
              <w:pStyle w:val="Compact"/>
              <w:jc w:val="left"/>
            </w:pPr>
            <w:r>
              <w:t xml:space="preserve">13.00</w:t>
            </w:r>
          </w:p>
        </w:tc>
      </w:tr>
      <w:tr>
        <w:tc>
          <w:tcPr/>
          <w:p>
            <w:pPr>
              <w:pStyle w:val="Compact"/>
              <w:jc w:val="left"/>
            </w:pPr>
            <w:r>
              <w:t xml:space="preserve">Upstream Transportation</w:t>
            </w:r>
          </w:p>
        </w:tc>
        <w:tc>
          <w:tcPr/>
          <w:p>
            <w:pPr>
              <w:pStyle w:val="Compact"/>
              <w:jc w:val="left"/>
            </w:pPr>
            <w:r>
              <w:t xml:space="preserve">Scope 3 (Upstream - Transportation and Distribution)</w:t>
            </w:r>
          </w:p>
        </w:tc>
        <w:tc>
          <w:tcPr/>
          <w:p>
            <w:pPr>
              <w:pStyle w:val="Compact"/>
              <w:jc w:val="left"/>
            </w:pPr>
            <w:r>
              <w:t xml:space="preserve">0.17</w:t>
            </w:r>
          </w:p>
        </w:tc>
      </w:tr>
      <w:tr>
        <w:tc>
          <w:tcPr/>
          <w:p>
            <w:pPr>
              <w:pStyle w:val="Compact"/>
              <w:jc w:val="left"/>
            </w:pPr>
            <w:r>
              <w:t xml:space="preserve">Downstream Transportation (Last-Mile)</w:t>
            </w:r>
          </w:p>
        </w:tc>
        <w:tc>
          <w:tcPr/>
          <w:p>
            <w:pPr>
              <w:pStyle w:val="Compact"/>
              <w:jc w:val="left"/>
            </w:pPr>
            <w:r>
              <w:t xml:space="preserve">Scope 3 (Downstream - Transportation and Distribution)</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(Downstream - Use of Sold Products)</w:t>
            </w:r>
          </w:p>
        </w:tc>
        <w:tc>
          <w:tcPr/>
          <w:p>
            <w:pPr>
              <w:pStyle w:val="Compact"/>
              <w:jc w:val="left"/>
            </w:pPr>
            <w:r>
              <w:t xml:space="preserve">17.50</w:t>
            </w:r>
          </w:p>
        </w:tc>
      </w:tr>
      <w:tr>
        <w:tc>
          <w:tcPr/>
          <w:p>
            <w:pPr>
              <w:pStyle w:val="Compact"/>
              <w:jc w:val="left"/>
            </w:pPr>
            <w:r>
              <w:t xml:space="preserve">End-of-Life (Net)</w:t>
            </w:r>
          </w:p>
        </w:tc>
        <w:tc>
          <w:tcPr/>
          <w:p>
            <w:pPr>
              <w:pStyle w:val="Compact"/>
              <w:jc w:val="left"/>
            </w:pPr>
            <w:r>
              <w:t xml:space="preserve">Scope 3 (Downstream - End-of-Life Treatment of Sold Products)</w:t>
            </w:r>
          </w:p>
        </w:tc>
        <w:tc>
          <w:tcPr/>
          <w:p>
            <w:pPr>
              <w:pStyle w:val="Compact"/>
              <w:jc w:val="left"/>
            </w:pPr>
            <w:r>
              <w:t xml:space="preserve">-1.87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47.70 kgCO2e/unit</w:t>
            </w:r>
          </w:p>
        </w:tc>
      </w:tr>
    </w:tbl>
    <w:bookmarkStart w:id="45" w:name="hotspots-and-reliability"/>
    <w:p>
      <w:pPr>
        <w:pStyle w:val="Heading3"/>
      </w:pPr>
      <w:r>
        <w:t xml:space="preserve">4.1. Hotspots and Reliability</w:t>
      </w:r>
    </w:p>
    <w:p>
      <w:pPr>
        <w:pStyle w:val="FirstParagraph"/>
      </w:pPr>
      <w:r>
        <w:t xml:space="preserve">The primary emission hotspots for \'ovnpsqpugy\' are:</w:t>
      </w:r>
    </w:p>
    <w:p>
      <w:pPr>
        <w:numPr>
          <w:ilvl w:val="0"/>
          <w:numId w:val="1019"/>
        </w:numPr>
        <w:pStyle w:val="Compact"/>
      </w:pPr>
      <w:r>
        <w:rPr>
          <w:bCs/>
          <w:b/>
        </w:rPr>
        <w:t xml:space="preserve">Use Phase (36.7%):</w:t>
      </w:r>
      <w:r>
        <w:t xml:space="preserve"> </w:t>
      </w:r>
      <w:r>
        <w:t xml:space="preserve">This is the largest contributor, driven by the product\'s energy consumption over its 5-year lifespan and the assumed European electricity mix.</w:t>
      </w:r>
    </w:p>
    <w:p>
      <w:pPr>
        <w:numPr>
          <w:ilvl w:val="0"/>
          <w:numId w:val="1019"/>
        </w:numPr>
        <w:pStyle w:val="Compact"/>
      </w:pPr>
      <w:r>
        <w:rPr>
          <w:bCs/>
          <w:b/>
        </w:rPr>
        <w:t xml:space="preserve">Manufacturing/Production (27.3%):</w:t>
      </w:r>
      <w:r>
        <w:t xml:space="preserve"> </w:t>
      </w:r>
      <w:r>
        <w:t xml:space="preserve">Even with 60% renewable energy usage, the remaining grid electricity from China contributes significantly.</w:t>
      </w:r>
    </w:p>
    <w:p>
      <w:pPr>
        <w:numPr>
          <w:ilvl w:val="0"/>
          <w:numId w:val="1019"/>
        </w:numPr>
        <w:pStyle w:val="Compact"/>
      </w:pPr>
      <w:r>
        <w:rPr>
          <w:bCs/>
          <w:b/>
        </w:rPr>
        <w:t xml:space="preserve">Downstream Transportation (26.2%):</w:t>
      </w:r>
      <w:r>
        <w:t xml:space="preserve"> </w:t>
      </w:r>
      <w:r>
        <w:t xml:space="preserve">Last-mile delivery is a notable factor, indicating the impact of product distribution.</w:t>
      </w:r>
    </w:p>
    <w:p>
      <w:pPr>
        <w:numPr>
          <w:ilvl w:val="0"/>
          <w:numId w:val="1019"/>
        </w:numPr>
        <w:pStyle w:val="Compact"/>
      </w:pPr>
      <w:r>
        <w:rPr>
          <w:bCs/>
          <w:b/>
        </w:rPr>
        <w:t xml:space="preserve">Material Production (13.4%):</w:t>
      </w:r>
      <w:r>
        <w:t xml:space="preserve"> </w:t>
      </w:r>
      <w:r>
        <w:t xml:space="preserve">While individual components vary, the cumulative impact of raw materials is substantial.</w:t>
      </w:r>
    </w:p>
    <w:p>
      <w:pPr>
        <w:pStyle w:val="FirstParagraph"/>
      </w:pPr>
      <w:r>
        <w:t xml:space="preserve">The reliability of this assessment is considered high for material impact due to the use of detailed BOM emission factors. Assumptions for transport distances and general electricity grid mixes for China and Europe are based on industry averages and could be refined with more specific data. The End-of-Life calculation involves assumptions regarding avoided emissions from recycling, which can also be a source of variability. The 95% Scope 3 coverage target ensures a comprehensive value chain perspective.</w:t>
      </w:r>
    </w:p>
    <w:bookmarkEnd w:id="45"/>
    <w:bookmarkStart w:id="46" w:name="application-of-2026-lsr-standard"/>
    <w:p>
      <w:pPr>
        <w:pStyle w:val="Heading3"/>
      </w:pPr>
      <w:r>
        <w:t xml:space="preserve">4.2. Application of 2026 LSR Standard</w:t>
      </w:r>
    </w:p>
    <w:p>
      <w:pPr>
        <w:pStyle w:val="FirstParagraph"/>
      </w:pPr>
      <w:r>
        <w:t xml:space="preserve">While \'ovnpsqpugy\' does not have direct land-use change or significant biogenic carbon components in its current BOM, the 2026 LSR Standard has been considered. For future product developments or supply chain expansions involving agricultural products, bio-based materials, or land management, \'dwpgwgkeud\' must ensure adherence to the detailed accounting requirements for land emissions and CO2 removals as outlined in the LSR Standard. This includes reporting on land occupation and carbon leakage if high-risk activities displace food or feed production. The accompanying guidance document for the LSR Standard, expected in Q2 2026, will provide further implementation details.</w:t>
      </w:r>
    </w:p>
    <w:p>
      <w:r>
        <w:pict>
          <v:rect style="width:0;height:1.5pt" o:hralign="center" o:hrstd="t" o:hr="t"/>
        </w:pict>
      </w:r>
    </w:p>
    <w:bookmarkEnd w:id="46"/>
    <w:bookmarkEnd w:id="47"/>
    <w:bookmarkStart w:id="48" w:name="recommendations-for-emission-reduction"/>
    <w:p>
      <w:pPr>
        <w:pStyle w:val="Heading2"/>
      </w:pPr>
      <w:r>
        <w:t xml:space="preserve">5. Recommendations for Emission Reduction</w:t>
      </w:r>
    </w:p>
    <w:p>
      <w:pPr>
        <w:pStyle w:val="FirstParagraph"/>
      </w:pPr>
      <w:r>
        <w:t xml:space="preserve">Based on this PCF analysis, \'dwpgwgkeud\' should focus on the following areas to reduce the environmental footprint of \'ovnpsqpugy\':</w:t>
      </w:r>
    </w:p>
    <w:p>
      <w:pPr>
        <w:numPr>
          <w:ilvl w:val="0"/>
          <w:numId w:val="1020"/>
        </w:numPr>
        <w:pStyle w:val="Compact"/>
      </w:pPr>
      <w:r>
        <w:rPr>
          <w:bCs/>
          <w:b/>
        </w:rPr>
        <w:t xml:space="preserve">Optimize Use Phase Energy:</w:t>
      </w:r>
      <w:r>
        <w:t xml:space="preserve"> </w:t>
      </w:r>
      <w:r>
        <w:t xml:space="preserve">Invest in R&amp;D for more energy-efficient product designs to reduce energy consumption during the 5-year lifespan. Educate consumers on energy-saving usage patterns.</w:t>
      </w:r>
    </w:p>
    <w:p>
      <w:pPr>
        <w:numPr>
          <w:ilvl w:val="0"/>
          <w:numId w:val="1020"/>
        </w:numPr>
        <w:pStyle w:val="Compact"/>
      </w:pPr>
      <w:r>
        <w:rPr>
          <w:bCs/>
          <w:b/>
        </w:rPr>
        <w:t xml:space="preserve">Increase Renewable Energy in Manufacturing:</w:t>
      </w:r>
      <w:r>
        <w:t xml:space="preserve"> </w:t>
      </w:r>
      <w:r>
        <w:t xml:space="preserve">Explore further investments in renewable energy sources at the China production facility or engage with suppliers to increase the share of green electricity in their operations.</w:t>
      </w:r>
    </w:p>
    <w:p>
      <w:pPr>
        <w:numPr>
          <w:ilvl w:val="0"/>
          <w:numId w:val="1020"/>
        </w:numPr>
        <w:pStyle w:val="Compact"/>
      </w:pPr>
      <w:r>
        <w:rPr>
          <w:bCs/>
          <w:b/>
        </w:rPr>
        <w:t xml:space="preserve">Streamline Logistics:</w:t>
      </w:r>
      <w:r>
        <w:t xml:space="preserve"> </w:t>
      </w:r>
      <w:r>
        <w:t xml:space="preserve">Optimize transportation routes, explore more efficient modes of transport (e.g., rail or sea freight where feasible for upstream materials), and collaborate with logistics providers to reduce last-mile delivery emissions. Consider regionalized production where possible to shorten distances.</w:t>
      </w:r>
    </w:p>
    <w:p>
      <w:pPr>
        <w:numPr>
          <w:ilvl w:val="0"/>
          <w:numId w:val="1020"/>
        </w:numPr>
        <w:pStyle w:val="Compact"/>
      </w:pPr>
      <w:r>
        <w:rPr>
          <w:bCs/>
          <w:b/>
        </w:rPr>
        <w:t xml:space="preserve">Enhance Circularity:</w:t>
      </w:r>
      <w:r>
        <w:t xml:space="preserve"> </w:t>
      </w:r>
      <w:r>
        <w:t xml:space="preserve">Continue to strengthen take-back programs (`yinvntuwxj`) and design for even higher recyclability. Explore opportunities for closed-loop material cycles and the use of recycled content in new products.</w:t>
      </w:r>
    </w:p>
    <w:p>
      <w:pPr>
        <w:numPr>
          <w:ilvl w:val="0"/>
          <w:numId w:val="1020"/>
        </w:numPr>
        <w:pStyle w:val="Compact"/>
      </w:pPr>
      <w:r>
        <w:rPr>
          <w:bCs/>
          <w:b/>
        </w:rPr>
        <w:t xml:space="preserve">Supplier Engagement:</w:t>
      </w:r>
      <w:r>
        <w:t xml:space="preserve"> </w:t>
      </w:r>
      <w:r>
        <w:t xml:space="preserve">Work with material suppliers to identify and procure lower-carbon materials and components, actively seeking out suppliers with robust sustainability practices and lower upstream emission factors.</w:t>
      </w:r>
    </w:p>
    <w:p>
      <w:r>
        <w:pict>
          <v:rect style="width:0;height:1.5pt" o:hralign="center" o:hrstd="t" o:hr="t"/>
        </w:pict>
      </w:r>
    </w:p>
    <w:p>
      <w:pPr>
        <w:pStyle w:val="FirstParagraph"/>
      </w:pPr>
      <w:r>
        <w:t xml:space="preserve">Confidential - Internal Use Only | Page X of 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ovnpsqpugy</dc:title>
  <dc:creator/>
  <dc:description>Detailed Product Carbon Footprint (PCF) analysis report for ovnpsqpugy, performed by Senior Sustainability Consultant tupvhsziqv, adhering to GHG Protocol standards and incorporating 2026 LSR updates.</dc:description>
  <dc:language>en</dc:language>
  <cp:keywords/>
  <dcterms:created xsi:type="dcterms:W3CDTF">2026-05-30T14:52:22Z</dcterms:created>
  <dcterms:modified xsi:type="dcterms:W3CDTF">2026-05-30T14:52:22Z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