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ousyhedufy</w:t>
      </w:r>
      <w:r>
        <w:t xml:space="preserve"> </w:t>
      </w:r>
      <w:r>
        <w:t xml:space="preserve">-</w:t>
      </w:r>
      <w:r>
        <w:t xml:space="preserve"> </w:t>
      </w:r>
      <w:r>
        <w:t xml:space="preserve">zzufgnvgjz</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ousyhedufy"/>
    <w:p>
      <w:pPr>
        <w:pStyle w:val="Heading2"/>
      </w:pPr>
      <w:r>
        <w:t xml:space="preserve">Product: ousyhedufy</w:t>
      </w:r>
    </w:p>
    <w:p>
      <w:pPr>
        <w:pStyle w:val="FirstParagraph"/>
      </w:pPr>
      <w:r>
        <w:rPr>
          <w:bCs/>
          <w:b/>
        </w:rPr>
        <w:t xml:space="preserve">Company Name:</w:t>
      </w:r>
      <w:r>
        <w:t xml:space="preserve"> </w:t>
      </w:r>
      <w:r>
        <w:t xml:space="preserve">zzufgnvgjz</w:t>
      </w:r>
    </w:p>
    <w:p>
      <w:pPr>
        <w:pStyle w:val="BodyText"/>
      </w:pPr>
      <w:r>
        <w:rPr>
          <w:bCs/>
          <w:b/>
        </w:rPr>
        <w:t xml:space="preserve">Senior Sustainability Consultant:</w:t>
      </w:r>
      <w:r>
        <w:t xml:space="preserve"> </w:t>
      </w:r>
      <w:r>
        <w:t xml:space="preserve">vmnxeerdij</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 Carbon Footprint. Accuracy relies on the completeness and precision of input data.</w:t>
      </w:r>
    </w:p>
    <w:bookmarkEnd w:id="20"/>
    <w:bookmarkEnd w:id="21"/>
    <w:bookmarkStart w:id="22" w:name="Xc2d2926c579553fb2e22f8627306c5cb0b417e0"/>
    <w:p>
      <w:pPr>
        <w:pStyle w:val="Heading1"/>
      </w:pPr>
      <w:r>
        <w:t xml:space="preserve">Product Carbon Footprint Report for ousyhedufy</w:t>
      </w:r>
    </w:p>
    <w:p>
      <w:pPr>
        <w:pStyle w:val="FirstParagraph"/>
      </w:pPr>
      <w:r>
        <w:rPr>
          <w:bCs/>
          <w:b/>
        </w:rPr>
        <w:t xml:space="preserve">Generated Date:</w:t>
      </w:r>
      <w:r>
        <w:t xml:space="preserve"> </w:t>
      </w:r>
      <w:r>
        <w:t xml:space="preserve">May 24,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ousyhedufy</w:t>
      </w:r>
      <w:r>
        <w:t xml:space="preserve">, manufactured by</w:t>
      </w:r>
      <w:r>
        <w:t xml:space="preserve"> </w:t>
      </w:r>
      <w:r>
        <w:rPr>
          <w:bCs/>
          <w:b/>
        </w:rPr>
        <w:t xml:space="preserve">zzufgnvgjz</w:t>
      </w:r>
      <w:r>
        <w:t xml:space="preserve">. The analysis, performed by Senior Sustainability Consultant</w:t>
      </w:r>
      <w:r>
        <w:t xml:space="preserve"> </w:t>
      </w:r>
      <w:r>
        <w:rPr>
          <w:bCs/>
          <w:b/>
        </w:rPr>
        <w:t xml:space="preserve">vmnxeerdij</w:t>
      </w:r>
      <w:r>
        <w:t xml:space="preserve">, adheres strictly to the GHG Protocol standards, including the recent 2026 updates for Land Sector and Removals (LSR) and Scope 3 compliance. The goal is to quantify greenhouse gas (GHG) emissions across the product\'s lifecycle, from raw material acquisition to end-of-life, to identify emission hotspots and inform strategic decarbonization efforts.</w:t>
      </w:r>
    </w:p>
    <w:p>
      <w:r>
        <w:pict>
          <v:rect style="width:0;height:1.5pt" o:hralign="center" o:hrstd="t" o:hr="t"/>
        </w:pict>
      </w:r>
    </w:p>
    <w:bookmarkEnd w:id="23"/>
    <w:bookmarkStart w:id="27" w:name="methodology-and-scope-definition"/>
    <w:p>
      <w:pPr>
        <w:pStyle w:val="Heading2"/>
      </w:pPr>
      <w:r>
        <w:t xml:space="preserve">1. Methodology and Scope Definition</w:t>
      </w:r>
    </w:p>
    <w:p>
      <w:pPr>
        <w:pStyle w:val="FirstParagraph"/>
      </w:pPr>
      <w:r>
        <w:t xml:space="preserve">The Product Carbon Footprint (PCF) was calculated following the GHG Protocol Product Life Cycle Accounting and Reporting Standard. This methodology involves five key steps: defining the scope, mapping the lifecycle, collecting data, calculating emissions, and reviewing &amp; reporting.</w:t>
      </w:r>
    </w:p>
    <w:bookmarkStart w:id="24"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The functional unit for this analysis is 1.0 unit of the product ousyhedufy. This provides a consistent basis for quantification and comparison.</w:t>
      </w:r>
    </w:p>
    <w:p>
      <w:pPr>
        <w:numPr>
          <w:ilvl w:val="0"/>
          <w:numId w:val="1001"/>
        </w:numPr>
        <w:pStyle w:val="Compact"/>
      </w:pPr>
      <w:r>
        <w:rPr>
          <w:bCs/>
          <w:b/>
        </w:rPr>
        <w:t xml:space="preserve">System Boundary:</w:t>
      </w:r>
      <w:r>
        <w:t xml:space="preserve"> </w:t>
      </w:r>
      <w:r>
        <w:t xml:space="preserve">The analysis adopts a "factory_gate" system boundary, encompassing all processes from raw material extraction and processing (cradle) through manufacturing up to the point the product leaves the factory gate. For a comprehensive view and alignment with GHG Protocol Scope 3 requirements, the analysis also extends to cover the use phase and end-of-life treatment of the product.</w:t>
      </w:r>
    </w:p>
    <w:p>
      <w:pPr>
        <w:numPr>
          <w:ilvl w:val="0"/>
          <w:numId w:val="1001"/>
        </w:numPr>
        <w:pStyle w:val="Compact"/>
      </w:pPr>
      <w:r>
        <w:rPr>
          <w:bCs/>
          <w:b/>
        </w:rPr>
        <w:t xml:space="preserve">Geographic Scope:</w:t>
      </w:r>
      <w:r>
        <w:t xml:space="preserve"> </w:t>
      </w:r>
      <w:r>
        <w:t xml:space="preserve">The final production country for ousyhedufy is China, with a specific focus on the supply chain concentrated in Europe. This geographical context influences the selection of regional emission factors.</w:t>
      </w:r>
    </w:p>
    <w:p>
      <w:pPr>
        <w:numPr>
          <w:ilvl w:val="0"/>
          <w:numId w:val="1001"/>
        </w:numPr>
        <w:pStyle w:val="Compact"/>
      </w:pPr>
      <w:r>
        <w:rPr>
          <w:bCs/>
          <w:b/>
        </w:rPr>
        <w:t xml:space="preserve">Accounting Standard:</w:t>
      </w:r>
      <w:r>
        <w:t xml:space="preserve"> </w:t>
      </w:r>
      <w:r>
        <w:t xml:space="preserve">This PCF analysis is conducted in strict accordance with the</w:t>
      </w:r>
      <w:r>
        <w:t xml:space="preserve"> </w:t>
      </w:r>
      <w:r>
        <w:rPr>
          <w:bCs/>
          <w:b/>
        </w:rPr>
        <w:t xml:space="preserve">GHG Protocol</w:t>
      </w:r>
      <w:r>
        <w:t xml:space="preserve">, the most widely used international accounting tool for quantifying GHG emissions.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co-products or by-products occur, allocation of environmental impacts is performed using scientifically sound principles, typically mass or economic allocation, to ensure that only the relevant share of emissions is attributed to ousyhedufy.</w:t>
      </w:r>
    </w:p>
    <w:bookmarkEnd w:id="24"/>
    <w:bookmarkStart w:id="25" w:name="lsr-update-application"/>
    <w:p>
      <w:pPr>
        <w:pStyle w:val="Heading3"/>
      </w:pPr>
      <w:r>
        <w:t xml:space="preserve">1.2. 2026 LSR Update Application</w:t>
      </w:r>
    </w:p>
    <w:p>
      <w:pPr>
        <w:pStyle w:val="FirstParagraph"/>
      </w:pPr>
      <w:r>
        <w:t xml:space="preserve">As per the 2026 requirements, the Land Sector and Removals (LSR) Standard has been applied. This standard provides accounting requirements for quantifying, reporting, and tracking GHG emissions and CO2 removals from land-based activities, particularly relevant for agricultural products or those with CO2 removals in their lifecycle. While specific primary land-use data for ousyhedufy\'s raw materials was not provided, the conceptual framework of LSR, including considerations for biogenic carbon and land-use change, has guided the interpretation of relevant material emission factors where applicable. The LSR Standard, effective January 1, 2027, also emphasizes traceability and land occupation reporting for companies with significant land sector activities.</w:t>
      </w:r>
    </w:p>
    <w:bookmarkEnd w:id="25"/>
    <w:bookmarkStart w:id="26" w:name="scope-3-compliance"/>
    <w:p>
      <w:pPr>
        <w:pStyle w:val="Heading3"/>
      </w:pPr>
      <w:r>
        <w:t xml:space="preserve">1.3. Scope 3 Compliance</w:t>
      </w:r>
    </w:p>
    <w:p>
      <w:pPr>
        <w:pStyle w:val="FirstParagraph"/>
      </w:pPr>
      <w:r>
        <w:t xml:space="preserve">A critical aspect of this report is ensuring at least 95% coverage for Scope 3 emissions, as per the 2026 GHG Protocol revisions. This stringent requirement necessitates a comprehensive mapping of all upstream and downstream value chain activities. The report aims to quantify all material Scope 3 sources, with any minor exclusions being rigorously justified and quantified to remain within the 5% threshold. Furthermore, disaggregation of emissions by data type (e.g., primary activity data vs. spend-based) will be considered to enhance transparency and credibility.</w:t>
      </w:r>
    </w:p>
    <w:p>
      <w:r>
        <w:pict>
          <v:rect style="width:0;height:1.5pt" o:hralign="center" o:hrstd="t" o:hr="t"/>
        </w:pict>
      </w:r>
    </w:p>
    <w:bookmarkEnd w:id="26"/>
    <w:bookmarkEnd w:id="27"/>
    <w:bookmarkStart w:id="33" w:name="X2bf58de29a7a901ba932b9a6a779f7f86e80a1b"/>
    <w:p>
      <w:pPr>
        <w:pStyle w:val="Heading2"/>
      </w:pPr>
      <w:r>
        <w:t xml:space="preserve">2. Lifecycle Mapping and Data Collection (LCI Inventory)</w:t>
      </w:r>
    </w:p>
    <w:p>
      <w:pPr>
        <w:pStyle w:val="FirstParagraph"/>
      </w:pPr>
      <w:r>
        <w:t xml:space="preserve">This section details the inputs and processes across the lifecycle of ousyhedufy, based on the provided parameters.</w:t>
      </w:r>
    </w:p>
    <w:bookmarkStart w:id="28" w:name="Xcee16d96011ac84c41dc455c893461edea3d4d2"/>
    <w:p>
      <w:pPr>
        <w:pStyle w:val="Heading3"/>
      </w:pPr>
      <w:r>
        <w:t xml:space="preserve">2.1. Materials Acquisition and Processing (Upstream - Scope 3, Category 1)</w:t>
      </w:r>
    </w:p>
    <w:p>
      <w:pPr>
        <w:pStyle w:val="FirstParagraph"/>
      </w:pPr>
      <w:r>
        <w:t xml:space="preserve">The material impact is calculated using the provided Detailed Bill of Materials (BOM):</w:t>
      </w:r>
      <w:r>
        <w:t xml:space="preserve"> </w:t>
      </w:r>
      <w:r>
        <w:rPr>
          <w:bCs/>
          <w:b/>
        </w:rPr>
        <w:t xml:space="preserve">qmsqjdxl</w:t>
      </w:r>
      <w:r>
        <w:t xml:space="preserve">. For this analysis, we interpret "qmsqjdxl" as a structured dataset containing the following illustrative items and their associated carbon footprints. These specific values are used for high-accuracy material impact calculation.</w:t>
      </w:r>
    </w:p>
    <w:p>
      <w:pPr>
        <w:pStyle w:val="BodyText"/>
      </w:pPr>
      <w:r>
        <w:rPr>
          <w:iCs/>
          <w:i/>
        </w:rPr>
        <w:t xml:space="preserve">Assumption: The \'Emission Factor\' column represents the CO2e per unit of quantity, and \'Total Carbon\' is the calculated product of Quantity * Emission Factor. In the absence of actual numerical data for `qmsqjdxl`, representative values for common materials are used to demonstrate the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Recycled Aluminum Casing</w:t>
            </w:r>
          </w:p>
        </w:tc>
        <w:tc>
          <w:tcPr/>
          <w:p>
            <w:pPr>
              <w:pStyle w:val="Compact"/>
              <w:jc w:val="left"/>
            </w:pPr>
            <w:r>
              <w:t xml:space="preserve">Metal</w:t>
            </w:r>
          </w:p>
        </w:tc>
        <w:tc>
          <w:tcPr/>
          <w:p>
            <w:pPr>
              <w:pStyle w:val="Compact"/>
              <w:jc w:val="left"/>
            </w:pPr>
            <w:r>
              <w:t xml:space="preserve">Extrusion, Recycled</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102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103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105</w:t>
            </w:r>
          </w:p>
        </w:tc>
        <w:tc>
          <w:tcPr/>
          <w:p>
            <w:pPr>
              <w:pStyle w:val="Compact"/>
              <w:jc w:val="left"/>
            </w:pPr>
            <w:r>
              <w:t xml:space="preserve">Lithium-ion Battery</w:t>
            </w:r>
          </w:p>
        </w:tc>
        <w:tc>
          <w:tcPr/>
          <w:p>
            <w:pPr>
              <w:pStyle w:val="Compact"/>
              <w:jc w:val="left"/>
            </w:pPr>
            <w:r>
              <w:t xml:space="preserve">Chemical/Electronic</w:t>
            </w:r>
          </w:p>
        </w:tc>
        <w:tc>
          <w:tcPr/>
          <w:p>
            <w:pPr>
              <w:pStyle w:val="Compact"/>
              <w:jc w:val="left"/>
            </w:pPr>
            <w:r>
              <w:t xml:space="preserve">Battery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106</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8.0</w:t>
            </w:r>
          </w:p>
        </w:tc>
        <w:tc>
          <w:tcPr/>
          <w:p>
            <w:pPr>
              <w:pStyle w:val="Compact"/>
              <w:jc w:val="left"/>
            </w:pPr>
            <w:r>
              <w:t xml:space="preserve">1.20</w:t>
            </w:r>
          </w:p>
        </w:tc>
      </w:tr>
      <w:tr>
        <w:tc>
          <w:tcPr>
            <w:gridSpan w:val="7"/>
          </w:tcPr>
          <w:p>
            <w:pPr>
              <w:pStyle w:val="Compact"/>
              <w:jc w:val="right"/>
            </w:pPr>
            <w:r>
              <w:rPr>
                <w:bCs/>
                <w:b/>
              </w:rPr>
              <w:t xml:space="preserve">Subtotal Material Emissions (kg CO2e):</w:t>
            </w:r>
          </w:p>
        </w:tc>
        <w:tc>
          <w:tcPr/>
          <w:p>
            <w:pPr>
              <w:pStyle w:val="Compact"/>
              <w:jc w:val="left"/>
            </w:pPr>
            <w:r>
              <w:rPr>
                <w:bCs/>
                <w:b/>
              </w:rPr>
              <w:t xml:space="preserve">8.90</w:t>
            </w:r>
          </w:p>
        </w:tc>
      </w:tr>
    </w:tbl>
    <w:bookmarkEnd w:id="28"/>
    <w:bookmarkStart w:id="29" w:name="Xdc4dd8ab279e6ea0c2ca2eac561aac0b9800205"/>
    <w:p>
      <w:pPr>
        <w:pStyle w:val="Heading3"/>
      </w:pPr>
      <w:r>
        <w:t xml:space="preserve">2.2. Manufacturing/Production (Scope 1 &amp; 2, and Scope 3 - Category 3)</w:t>
      </w:r>
    </w:p>
    <w:p>
      <w:pPr>
        <w:numPr>
          <w:ilvl w:val="0"/>
          <w:numId w:val="1002"/>
        </w:numPr>
        <w:pStyle w:val="Compact"/>
      </w:pPr>
      <w:r>
        <w:rPr>
          <w:bCs/>
          <w:b/>
        </w:rPr>
        <w:t xml:space="preserve">Energy Intensity (kWh/unit):</w:t>
      </w:r>
      <w:r>
        <w:t xml:space="preserve"> </w:t>
      </w:r>
      <w:r>
        <w:rPr>
          <w:rStyle w:val="VerbatimChar"/>
        </w:rPr>
        <w:t xml:space="preserve">iesnototvi</w:t>
      </w:r>
      <w:r>
        <w:t xml:space="preserve"> </w:t>
      </w:r>
      <w:r>
        <w:t xml:space="preserve">(interpreted as 0.5 kWh/unit)</w:t>
      </w:r>
    </w:p>
    <w:p>
      <w:pPr>
        <w:numPr>
          <w:ilvl w:val="0"/>
          <w:numId w:val="1002"/>
        </w:numPr>
        <w:pStyle w:val="Compact"/>
      </w:pPr>
      <w:r>
        <w:rPr>
          <w:bCs/>
          <w:b/>
        </w:rPr>
        <w:t xml:space="preserve">Renewable Energy Usage:</w:t>
      </w:r>
      <w:r>
        <w:t xml:space="preserve"> </w:t>
      </w:r>
      <w:r>
        <w:rPr>
          <w:rStyle w:val="VerbatimChar"/>
        </w:rPr>
        <w:t xml:space="preserve">fhqdupnvke</w:t>
      </w:r>
      <w:r>
        <w:t xml:space="preserve"> </w:t>
      </w:r>
      <w:r>
        <w:t xml:space="preserve">(interpreted as 75% renewable)</w:t>
      </w:r>
    </w:p>
    <w:p>
      <w:pPr>
        <w:numPr>
          <w:ilvl w:val="0"/>
          <w:numId w:val="1002"/>
        </w:numPr>
        <w:pStyle w:val="Compact"/>
      </w:pPr>
      <w:r>
        <w:rPr>
          <w:bCs/>
          <w:b/>
        </w:rPr>
        <w:t xml:space="preserve">Geographic Scope:</w:t>
      </w:r>
      <w:r>
        <w:t xml:space="preserve"> </w:t>
      </w:r>
      <w:r>
        <w:t xml:space="preserve">Final Production Country: China</w:t>
      </w:r>
    </w:p>
    <w:bookmarkEnd w:id="29"/>
    <w:bookmarkStart w:id="30" w:name="X1971045be2ed66dca7d73a9da45b73672df6cbf"/>
    <w:p>
      <w:pPr>
        <w:pStyle w:val="Heading3"/>
      </w:pPr>
      <w:r>
        <w:t xml:space="preserve">2.3. Transport and Distribution (Upstream &amp; Downstream - Scope 3, Categories 4 &amp; 9)</w:t>
      </w:r>
    </w:p>
    <w:p>
      <w:pPr>
        <w:numPr>
          <w:ilvl w:val="0"/>
          <w:numId w:val="1003"/>
        </w:numPr>
        <w:pStyle w:val="Compact"/>
      </w:pPr>
      <w:r>
        <w:rPr>
          <w:bCs/>
          <w:b/>
        </w:rPr>
        <w:t xml:space="preserve">Transport Mode:</w:t>
      </w:r>
      <w:r>
        <w:t xml:space="preserve"> </w:t>
      </w:r>
      <w:r>
        <w:rPr>
          <w:rStyle w:val="VerbatimChar"/>
        </w:rPr>
        <w:t xml:space="preserve">Select Mode</w:t>
      </w:r>
      <w:r>
        <w:t xml:space="preserve"> </w:t>
      </w:r>
      <w:r>
        <w:t xml:space="preserve">(interpreted as a combination of Ocean Freight and Road Freight for inbound logistics, and Parcel Service for last-mile delivery).</w:t>
      </w:r>
    </w:p>
    <w:p>
      <w:pPr>
        <w:numPr>
          <w:ilvl w:val="0"/>
          <w:numId w:val="1003"/>
        </w:numPr>
        <w:pStyle w:val="Compact"/>
      </w:pPr>
      <w:r>
        <w:rPr>
          <w:bCs/>
          <w:b/>
        </w:rPr>
        <w:t xml:space="preserve">Transport Distance:</w:t>
      </w:r>
      <w:r>
        <w:t xml:space="preserve"> </w:t>
      </w:r>
      <w:r>
        <w:rPr>
          <w:rStyle w:val="VerbatimChar"/>
        </w:rPr>
        <w:t xml:space="preserve">kvsqpssxpu</w:t>
      </w:r>
      <w:r>
        <w:t xml:space="preserve"> </w:t>
      </w:r>
      <w:r>
        <w:t xml:space="preserve">(interpreted as 10,000 km for ocean freight, 500 km for road freight, and 100 km for last-mile delivery).</w:t>
      </w:r>
    </w:p>
    <w:p>
      <w:pPr>
        <w:numPr>
          <w:ilvl w:val="0"/>
          <w:numId w:val="1003"/>
        </w:numPr>
        <w:pStyle w:val="Compact"/>
      </w:pPr>
      <w:r>
        <w:rPr>
          <w:bCs/>
          <w:b/>
        </w:rPr>
        <w:t xml:space="preserve">Last-Mile Delivery Channel:</w:t>
      </w:r>
      <w:r>
        <w:t xml:space="preserve"> </w:t>
      </w:r>
      <w:r>
        <w:rPr>
          <w:rStyle w:val="VerbatimChar"/>
        </w:rPr>
        <w:t xml:space="preserve">Delivery Type</w:t>
      </w:r>
      <w:r>
        <w:t xml:space="preserve"> </w:t>
      </w:r>
      <w:r>
        <w:t xml:space="preserve">(interpreted as Parcel Service).</w:t>
      </w:r>
    </w:p>
    <w:bookmarkEnd w:id="30"/>
    <w:bookmarkStart w:id="31" w:name="X01fffecb4d51cf9638741502492363d57dc681a"/>
    <w:p>
      <w:pPr>
        <w:pStyle w:val="Heading3"/>
      </w:pPr>
      <w:r>
        <w:t xml:space="preserve">2.4. Use Phase (Downstream - Scope 3, Category 11)</w:t>
      </w:r>
    </w:p>
    <w:p>
      <w:pPr>
        <w:numPr>
          <w:ilvl w:val="0"/>
          <w:numId w:val="1004"/>
        </w:numPr>
        <w:pStyle w:val="Compact"/>
      </w:pPr>
      <w:r>
        <w:rPr>
          <w:bCs/>
          <w:b/>
        </w:rPr>
        <w:t xml:space="preserve">Product Lifespan:</w:t>
      </w:r>
      <w:r>
        <w:t xml:space="preserve"> </w:t>
      </w:r>
      <w:r>
        <w:rPr>
          <w:rStyle w:val="VerbatimChar"/>
        </w:rPr>
        <w:t xml:space="preserve">zrnzowwirz</w:t>
      </w:r>
      <w:r>
        <w:t xml:space="preserve"> </w:t>
      </w:r>
      <w:r>
        <w:t xml:space="preserve">(interpreted as 5 years)</w:t>
      </w:r>
    </w:p>
    <w:p>
      <w:pPr>
        <w:numPr>
          <w:ilvl w:val="0"/>
          <w:numId w:val="1004"/>
        </w:numPr>
        <w:pStyle w:val="Compact"/>
      </w:pPr>
      <w:r>
        <w:rPr>
          <w:bCs/>
          <w:b/>
        </w:rPr>
        <w:t xml:space="preserve">Energy Consumption in Use:</w:t>
      </w:r>
      <w:r>
        <w:t xml:space="preserve"> </w:t>
      </w:r>
      <w:r>
        <w:rPr>
          <w:rStyle w:val="VerbatimChar"/>
        </w:rPr>
        <w:t xml:space="preserve">sunsfhelfg</w:t>
      </w:r>
      <w:r>
        <w:t xml:space="preserve"> </w:t>
      </w:r>
      <w:r>
        <w:t xml:space="preserve">(interpreted as 10 kWh/year)</w:t>
      </w:r>
    </w:p>
    <w:bookmarkEnd w:id="31"/>
    <w:bookmarkStart w:id="32" w:name="X9c0ae82b25d76f37a2834bd60185fdb72258056"/>
    <w:p>
      <w:pPr>
        <w:pStyle w:val="Heading3"/>
      </w:pPr>
      <w:r>
        <w:t xml:space="preserve">2.5. End-of-Life (EoL) Treatment (Downstream - Scope 3, Category 12)</w:t>
      </w:r>
    </w:p>
    <w:p>
      <w:pPr>
        <w:numPr>
          <w:ilvl w:val="0"/>
          <w:numId w:val="1005"/>
        </w:numPr>
        <w:pStyle w:val="Compact"/>
      </w:pPr>
      <w:r>
        <w:rPr>
          <w:bCs/>
          <w:b/>
        </w:rPr>
        <w:t xml:space="preserve">Recyclability Percentage:</w:t>
      </w:r>
      <w:r>
        <w:t xml:space="preserve"> </w:t>
      </w:r>
      <w:r>
        <w:rPr>
          <w:rStyle w:val="VerbatimChar"/>
        </w:rPr>
        <w:t xml:space="preserve">yglvswrgff</w:t>
      </w:r>
      <w:r>
        <w:t xml:space="preserve"> </w:t>
      </w:r>
      <w:r>
        <w:t xml:space="preserve">(interpreted as 80%)</w:t>
      </w:r>
    </w:p>
    <w:p>
      <w:pPr>
        <w:numPr>
          <w:ilvl w:val="0"/>
          <w:numId w:val="1005"/>
        </w:numPr>
        <w:pStyle w:val="Compact"/>
      </w:pPr>
      <w:r>
        <w:rPr>
          <w:bCs/>
          <w:b/>
        </w:rPr>
        <w:t xml:space="preserve">Circular/Take-back Programs:</w:t>
      </w:r>
      <w:r>
        <w:t xml:space="preserve"> </w:t>
      </w:r>
      <w:r>
        <w:rPr>
          <w:rStyle w:val="VerbatimChar"/>
        </w:rPr>
        <w:t xml:space="preserve">imgiwsjqjx</w:t>
      </w:r>
      <w:r>
        <w:t xml:space="preserve"> </w:t>
      </w:r>
      <w:r>
        <w:t xml:space="preserve">(interpreted as "Advanced take-back program with material recovery")</w:t>
      </w:r>
    </w:p>
    <w:p>
      <w:r>
        <w:pict>
          <v:rect style="width:0;height:1.5pt" o:hralign="center" o:hrstd="t" o:hr="t"/>
        </w:pict>
      </w:r>
    </w:p>
    <w:bookmarkEnd w:id="32"/>
    <w:bookmarkEnd w:id="33"/>
    <w:bookmarkStart w:id="46" w:name="emission-calculation"/>
    <w:p>
      <w:pPr>
        <w:pStyle w:val="Heading2"/>
      </w:pPr>
      <w:r>
        <w:t xml:space="preserve">3. Emission Calculation</w:t>
      </w:r>
    </w:p>
    <w:p>
      <w:pPr>
        <w:pStyle w:val="FirstParagraph"/>
      </w:pPr>
      <w:r>
        <w:t xml:space="preserve">Emissions are calculated by multiplying activity data (e.g., kg of material, kWh of energy, tkm of transport) by relevant emission factors (EFs), expressed in kg CO2e. Industry-standard emission factors from databases like Ecoinvent and DEFRA are used.</w:t>
      </w:r>
    </w:p>
    <w:p>
      <w:pPr>
        <w:pStyle w:val="BodyText"/>
      </w:pPr>
      <w:r>
        <w:rPr>
          <w:iCs/>
          <w:i/>
        </w:rPr>
        <w:t xml:space="preserve">Note on Emission Factors: Actual Ecoinvent/DEFRA database access is not available for this simulation. Therefore, illustrative, representative emission factors are used, consistent with typical values found in such databases for the specified activities and geographical scope. These are explicitly stated below.</w:t>
      </w:r>
    </w:p>
    <w:bookmarkStart w:id="34" w:name="illustrative-emission-factors-used"/>
    <w:p>
      <w:pPr>
        <w:pStyle w:val="Heading3"/>
      </w:pPr>
      <w:r>
        <w:t xml:space="preserve">3.1. Illustrative Emission Factors Used:</w:t>
      </w:r>
    </w:p>
    <w:p>
      <w:pPr>
        <w:numPr>
          <w:ilvl w:val="0"/>
          <w:numId w:val="1006"/>
        </w:numPr>
        <w:pStyle w:val="Compact"/>
      </w:pPr>
      <w:r>
        <w:t xml:space="preserve">Grid Electricity (China average): 0.6 kg CO2e/kWh (illustrative)</w:t>
      </w:r>
    </w:p>
    <w:p>
      <w:pPr>
        <w:numPr>
          <w:ilvl w:val="0"/>
          <w:numId w:val="1006"/>
        </w:numPr>
        <w:pStyle w:val="Compact"/>
      </w:pPr>
      <w:r>
        <w:t xml:space="preserve">Ocean Freight (per tonne-km): 0.01 kg CO2e/tkm (illustrative)</w:t>
      </w:r>
    </w:p>
    <w:p>
      <w:pPr>
        <w:numPr>
          <w:ilvl w:val="0"/>
          <w:numId w:val="1006"/>
        </w:numPr>
        <w:pStyle w:val="Compact"/>
      </w:pPr>
      <w:r>
        <w:t xml:space="preserve">Road Freight (per tonne-km): 0.1 kg CO2e/tkm (illustrative)</w:t>
      </w:r>
    </w:p>
    <w:p>
      <w:pPr>
        <w:numPr>
          <w:ilvl w:val="0"/>
          <w:numId w:val="1006"/>
        </w:numPr>
        <w:pStyle w:val="Compact"/>
      </w:pPr>
      <w:r>
        <w:t xml:space="preserve">Parcel Service (per parcel, simplified): 0.5 kg CO2e/parcel (illustrative, assuming average package weight &amp; distance for last mile)</w:t>
      </w:r>
    </w:p>
    <w:p>
      <w:pPr>
        <w:numPr>
          <w:ilvl w:val="0"/>
          <w:numId w:val="1006"/>
        </w:numPr>
        <w:pStyle w:val="Compact"/>
      </w:pPr>
      <w:r>
        <w:t xml:space="preserve">Disposal (Landfill, per kg): 1.0 kg CO2e/kg (illustrative)</w:t>
      </w:r>
    </w:p>
    <w:p>
      <w:pPr>
        <w:numPr>
          <w:ilvl w:val="0"/>
          <w:numId w:val="1006"/>
        </w:numPr>
        <w:pStyle w:val="Compact"/>
      </w:pPr>
      <w:r>
        <w:t xml:space="preserve">Recycling Credit (per kg of recycled material, avoided virgin production): -0.5 kg CO2e/kg (illustrative)</w:t>
      </w:r>
    </w:p>
    <w:bookmarkEnd w:id="34"/>
    <w:bookmarkStart w:id="43" w:name="lifecycle-emission-calculations-by-scope"/>
    <w:p>
      <w:pPr>
        <w:pStyle w:val="Heading3"/>
      </w:pPr>
      <w:r>
        <w:t xml:space="preserve">3.2. Lifecycle Emission Calculations by Scope:</w:t>
      </w:r>
    </w:p>
    <w:bookmarkStart w:id="35" w:name="scope-1-emissions-direct-emissions"/>
    <w:p>
      <w:pPr>
        <w:pStyle w:val="Heading4"/>
      </w:pPr>
      <w:r>
        <w:t xml:space="preserve">Scope 1 Emissions: Direct Emissions</w:t>
      </w:r>
    </w:p>
    <w:p>
      <w:pPr>
        <w:pStyle w:val="FirstParagraph"/>
      </w:pPr>
      <w:r>
        <w:t xml:space="preserve">For a \'factory_gate\' system boundary focusing on product PCF, Scope 1 emissions from direct fuel combustion by the company\'s owned or controlled sources (e.g., boilers, company vehicles) are typically accounted for at the corporate level. For this product-specific analysis, and without specific fuel consumption data for ousyhedufy\'s production, we assume direct process emissions on-site are minimal or covered by purchased energy factors. If there were direct, product-specific process emissions (e.g., chemical reactions releasing GHGs), they would be quantified here. For this report, Scope 1 is considered negligible at the product level given the data provided, acknowledging it would be part of a larger corporate inventory.</w:t>
      </w:r>
    </w:p>
    <w:bookmarkEnd w:id="35"/>
    <w:bookmarkStart w:id="36" w:name="Xea3a0be011cd6660e8b4fde47b2db6c687f0551"/>
    <w:p>
      <w:pPr>
        <w:pStyle w:val="Heading4"/>
      </w:pPr>
      <w:r>
        <w:t xml:space="preserve">Scope 2 Emissions: Purchased Energy Emissions</w:t>
      </w:r>
    </w:p>
    <w:p>
      <w:pPr>
        <w:pStyle w:val="FirstParagraph"/>
      </w:pPr>
      <w:r>
        <w:t xml:space="preserve">These are indirect emissions from the generation of purchased electricity, steam, heating, and cooling consumed by</w:t>
      </w:r>
      <w:r>
        <w:t xml:space="preserve"> </w:t>
      </w:r>
      <w:r>
        <w:rPr>
          <w:bCs/>
          <w:b/>
        </w:rPr>
        <w:t xml:space="preserve">zzufgnvgjz</w:t>
      </w:r>
      <w:r>
        <w:t xml:space="preserve"> </w:t>
      </w:r>
      <w:r>
        <w:t xml:space="preserve">for the production of ousyhedufy.</w:t>
      </w:r>
    </w:p>
    <w:p>
      <w:pPr>
        <w:numPr>
          <w:ilvl w:val="0"/>
          <w:numId w:val="1007"/>
        </w:numPr>
        <w:pStyle w:val="Compact"/>
      </w:pPr>
      <w:r>
        <w:t xml:space="preserve">Total energy demand: 0.5 kWh/unit (</w:t>
      </w:r>
      <w:r>
        <w:rPr>
          <w:rStyle w:val="VerbatimChar"/>
        </w:rPr>
        <w:t xml:space="preserve">iesnototvi</w:t>
      </w:r>
      <w:r>
        <w:t xml:space="preserve">)</w:t>
      </w:r>
    </w:p>
    <w:p>
      <w:pPr>
        <w:numPr>
          <w:ilvl w:val="0"/>
          <w:numId w:val="1007"/>
        </w:numPr>
        <w:pStyle w:val="Compact"/>
      </w:pPr>
      <w:r>
        <w:t xml:space="preserve">Renewable energy usage: 75% (</w:t>
      </w:r>
      <w:r>
        <w:rPr>
          <w:rStyle w:val="VerbatimChar"/>
        </w:rPr>
        <w:t xml:space="preserve">fhqdupnvke</w:t>
      </w:r>
      <w:r>
        <w:t xml:space="preserve">)</w:t>
      </w:r>
    </w:p>
    <w:p>
      <w:pPr>
        <w:numPr>
          <w:ilvl w:val="0"/>
          <w:numId w:val="1007"/>
        </w:numPr>
        <w:pStyle w:val="Compact"/>
      </w:pPr>
      <w:r>
        <w:t xml:space="preserve">Non-renewable energy consumption: 0.5 kWh/unit * (1 - 0.75) = 0.125 kWh/unit</w:t>
      </w:r>
    </w:p>
    <w:p>
      <w:pPr>
        <w:numPr>
          <w:ilvl w:val="0"/>
          <w:numId w:val="1007"/>
        </w:numPr>
        <w:pStyle w:val="Compact"/>
      </w:pPr>
      <w:r>
        <w:t xml:space="preserve">Scope 2 Emissions = 0.125 kWh/unit * 0.6 kg CO2e/kWh (China grid EF) =</w:t>
      </w:r>
      <w:r>
        <w:t xml:space="preserve"> </w:t>
      </w:r>
      <w:r>
        <w:rPr>
          <w:bCs/>
          <w:b/>
        </w:rPr>
        <w:t xml:space="preserve">0.075 kg CO2e/unit</w:t>
      </w:r>
    </w:p>
    <w:bookmarkEnd w:id="36"/>
    <w:bookmarkStart w:id="42" w:name="scope-3-emissions-value-chain-emissions"/>
    <w:p>
      <w:pPr>
        <w:pStyle w:val="Heading4"/>
      </w:pPr>
      <w:r>
        <w:t xml:space="preserve">Scope 3 Emissions: Value Chain Emissions</w:t>
      </w:r>
    </w:p>
    <w:bookmarkStart w:id="37" w:name="Xab9729a0caae076ca89f2f71668734f92723cf2"/>
    <w:p>
      <w:pPr>
        <w:pStyle w:val="Heading5"/>
      </w:pPr>
      <w:r>
        <w:t xml:space="preserve">3.2.1. Category 1: Purchased Goods and Services (Materials)</w:t>
      </w:r>
    </w:p>
    <w:p>
      <w:pPr>
        <w:pStyle w:val="FirstParagraph"/>
      </w:pPr>
      <w:r>
        <w:t xml:space="preserve">Based on the Detailed Bill of Materials (BOM) section 2.1.</w:t>
      </w:r>
    </w:p>
    <w:p>
      <w:pPr>
        <w:numPr>
          <w:ilvl w:val="0"/>
          <w:numId w:val="1008"/>
        </w:numPr>
        <w:pStyle w:val="Compact"/>
      </w:pPr>
      <w:r>
        <w:t xml:space="preserve">Total Material Emissions:</w:t>
      </w:r>
      <w:r>
        <w:t xml:space="preserve"> </w:t>
      </w:r>
      <w:r>
        <w:rPr>
          <w:bCs/>
          <w:b/>
        </w:rPr>
        <w:t xml:space="preserve">8.90 kg CO2e/unit</w:t>
      </w:r>
    </w:p>
    <w:bookmarkEnd w:id="37"/>
    <w:bookmarkStart w:id="38" w:name="X9d087a441400f4149471226f2d7a3ad8fabd7a8"/>
    <w:p>
      <w:pPr>
        <w:pStyle w:val="Heading5"/>
      </w:pPr>
      <w:r>
        <w:t xml:space="preserve">3.2.2. Category 3: Fuel- and Energy-Related Activities (not included in Scope 1 or 2)</w:t>
      </w:r>
    </w:p>
    <w:p>
      <w:pPr>
        <w:pStyle w:val="FirstParagraph"/>
      </w:pPr>
      <w:r>
        <w:t xml:space="preserve">This covers upstream emissions from the production of fuels and electricity, as well as transmission and distribution (T&amp;D) losses associated with purchased electricity. Assuming an illustrative T&amp;D loss factor of 10% and an upstream generation EF of 0.05 kg CO2e/kWh for the non-renewable portion.</w:t>
      </w:r>
    </w:p>
    <w:p>
      <w:pPr>
        <w:numPr>
          <w:ilvl w:val="0"/>
          <w:numId w:val="1009"/>
        </w:numPr>
        <w:pStyle w:val="Compact"/>
      </w:pPr>
      <w:r>
        <w:t xml:space="preserve">T&amp;D Loss Emissions = (0.5 kWh/unit * 0.10) * 0.6 kg CO2e/kWh = 0.03 kg CO2e/unit</w:t>
      </w:r>
    </w:p>
    <w:p>
      <w:pPr>
        <w:numPr>
          <w:ilvl w:val="0"/>
          <w:numId w:val="1009"/>
        </w:numPr>
        <w:pStyle w:val="Compact"/>
      </w:pPr>
      <w:r>
        <w:t xml:space="preserve">Upstream Energy Production Emissions (non-renewable) = 0.125 kWh/unit * 0.05 kg CO2e/kWh = 0.00625 kg CO2e/unit</w:t>
      </w:r>
    </w:p>
    <w:p>
      <w:pPr>
        <w:numPr>
          <w:ilvl w:val="0"/>
          <w:numId w:val="1009"/>
        </w:numPr>
        <w:pStyle w:val="Compact"/>
      </w:pPr>
      <w:r>
        <w:t xml:space="preserve">Total Scope 3, Category 3 Emissions = 0.03 + 0.00625 =</w:t>
      </w:r>
      <w:r>
        <w:t xml:space="preserve"> </w:t>
      </w:r>
      <w:r>
        <w:rPr>
          <w:bCs/>
          <w:b/>
        </w:rPr>
        <w:t xml:space="preserve">0.036 kg CO2e/unit</w:t>
      </w:r>
      <w:r>
        <w:t xml:space="preserve"> </w:t>
      </w:r>
      <w:r>
        <w:t xml:space="preserve">(rounded)</w:t>
      </w:r>
    </w:p>
    <w:bookmarkEnd w:id="38"/>
    <w:bookmarkStart w:id="39" w:name="X21658814ba1df78d749153f7220ead88136567b"/>
    <w:p>
      <w:pPr>
        <w:pStyle w:val="Heading5"/>
      </w:pPr>
      <w:r>
        <w:t xml:space="preserve">3.2.3. Category 4 &amp; 9: Upstream and Downstream Transportation and Distribution</w:t>
      </w:r>
    </w:p>
    <w:p>
      <w:pPr>
        <w:pStyle w:val="FirstParagraph"/>
      </w:pPr>
      <w:r>
        <w:t xml:space="preserve">Assumed product weight for transport calculations: 1.5 kg (sum of BOM items, plus packaging).</w:t>
      </w:r>
    </w:p>
    <w:p>
      <w:pPr>
        <w:numPr>
          <w:ilvl w:val="0"/>
          <w:numId w:val="1010"/>
        </w:numPr>
        <w:pStyle w:val="Compact"/>
      </w:pPr>
      <w:r>
        <w:rPr>
          <w:bCs/>
          <w:b/>
        </w:rPr>
        <w:t xml:space="preserve">Inbound Logistics (Upstream - Category 4):</w:t>
      </w:r>
    </w:p>
    <w:p>
      <w:pPr>
        <w:numPr>
          <w:ilvl w:val="1"/>
          <w:numId w:val="1011"/>
        </w:numPr>
        <w:pStyle w:val="Compact"/>
      </w:pPr>
      <w:r>
        <w:t xml:space="preserve">Ocean Freight: (1.5 kg / 1000 kg/tonne) * 10,000 km * 0.01 kg CO2e/tkm = 0.15 kg CO2e</w:t>
      </w:r>
    </w:p>
    <w:p>
      <w:pPr>
        <w:numPr>
          <w:ilvl w:val="1"/>
          <w:numId w:val="1011"/>
        </w:numPr>
        <w:pStyle w:val="Compact"/>
      </w:pPr>
      <w:r>
        <w:t xml:space="preserve">Road Freight: (1.5 kg / 1000 kg/tonne) * 500 km * 0.1 kg CO2e/tkm = 0.075 kg CO2e</w:t>
      </w:r>
    </w:p>
    <w:p>
      <w:pPr>
        <w:numPr>
          <w:ilvl w:val="1"/>
          <w:numId w:val="1011"/>
        </w:numPr>
        <w:pStyle w:val="Compact"/>
      </w:pPr>
      <w:r>
        <w:t xml:space="preserve">Total Inbound Transport: 0.15 + 0.075 =</w:t>
      </w:r>
      <w:r>
        <w:t xml:space="preserve"> </w:t>
      </w:r>
      <w:r>
        <w:rPr>
          <w:bCs/>
          <w:b/>
        </w:rPr>
        <w:t xml:space="preserve">0.225 kg CO2e/unit</w:t>
      </w:r>
    </w:p>
    <w:p>
      <w:pPr>
        <w:numPr>
          <w:ilvl w:val="0"/>
          <w:numId w:val="1010"/>
        </w:numPr>
        <w:pStyle w:val="Compact"/>
      </w:pPr>
      <w:r>
        <w:rPr>
          <w:bCs/>
          <w:b/>
        </w:rPr>
        <w:t xml:space="preserve">Outbound Logistics (Downstream - Category 9):</w:t>
      </w:r>
    </w:p>
    <w:p>
      <w:pPr>
        <w:numPr>
          <w:ilvl w:val="1"/>
          <w:numId w:val="1012"/>
        </w:numPr>
        <w:pStyle w:val="Compact"/>
      </w:pPr>
      <w:r>
        <w:t xml:space="preserve">Last-Mile Delivery (Parcel Service): 0.5 kg CO2e/parcel (simplified for 1.0 unit) =</w:t>
      </w:r>
      <w:r>
        <w:t xml:space="preserve"> </w:t>
      </w:r>
      <w:r>
        <w:rPr>
          <w:bCs/>
          <w:b/>
        </w:rPr>
        <w:t xml:space="preserve">0.5 kg CO2e/unit</w:t>
      </w:r>
    </w:p>
    <w:p>
      <w:pPr>
        <w:numPr>
          <w:ilvl w:val="0"/>
          <w:numId w:val="1010"/>
        </w:numPr>
        <w:pStyle w:val="Compact"/>
      </w:pPr>
      <w:r>
        <w:t xml:space="preserve">Total Transport Emissions = 0.225 + 0.5 =</w:t>
      </w:r>
      <w:r>
        <w:t xml:space="preserve"> </w:t>
      </w:r>
      <w:r>
        <w:rPr>
          <w:bCs/>
          <w:b/>
        </w:rPr>
        <w:t xml:space="preserve">0.725 kg CO2e/unit</w:t>
      </w:r>
    </w:p>
    <w:bookmarkEnd w:id="39"/>
    <w:bookmarkStart w:id="40" w:name="category-11-use-of-sold-products"/>
    <w:p>
      <w:pPr>
        <w:pStyle w:val="Heading5"/>
      </w:pPr>
      <w:r>
        <w:t xml:space="preserve">3.2.4. Category 11: Use of Sold Products</w:t>
      </w:r>
    </w:p>
    <w:p>
      <w:pPr>
        <w:numPr>
          <w:ilvl w:val="0"/>
          <w:numId w:val="1013"/>
        </w:numPr>
        <w:pStyle w:val="Compact"/>
      </w:pPr>
      <w:r>
        <w:t xml:space="preserve">Product Lifespan: 5 years (</w:t>
      </w:r>
      <w:r>
        <w:rPr>
          <w:rStyle w:val="VerbatimChar"/>
        </w:rPr>
        <w:t xml:space="preserve">zrnzowwirz</w:t>
      </w:r>
      <w:r>
        <w:t xml:space="preserve">)</w:t>
      </w:r>
    </w:p>
    <w:p>
      <w:pPr>
        <w:numPr>
          <w:ilvl w:val="0"/>
          <w:numId w:val="1013"/>
        </w:numPr>
        <w:pStyle w:val="Compact"/>
      </w:pPr>
      <w:r>
        <w:t xml:space="preserve">Energy Consumption in Use: 10 kWh/year (</w:t>
      </w:r>
      <w:r>
        <w:rPr>
          <w:rStyle w:val="VerbatimChar"/>
        </w:rPr>
        <w:t xml:space="preserve">sunsfhelfg</w:t>
      </w:r>
      <w:r>
        <w:t xml:space="preserve">)</w:t>
      </w:r>
    </w:p>
    <w:p>
      <w:pPr>
        <w:numPr>
          <w:ilvl w:val="0"/>
          <w:numId w:val="1013"/>
        </w:numPr>
        <w:pStyle w:val="Compact"/>
      </w:pPr>
      <w:r>
        <w:t xml:space="preserve">Total Energy in Use over Lifespan = 10 kWh/year * 5 years = 50 kWh/unit</w:t>
      </w:r>
    </w:p>
    <w:p>
      <w:pPr>
        <w:numPr>
          <w:ilvl w:val="0"/>
          <w:numId w:val="1013"/>
        </w:numPr>
        <w:pStyle w:val="Compact"/>
      </w:pPr>
      <w:r>
        <w:t xml:space="preserve">Use Phase Emissions = 50 kWh/unit * 0.6 kg CO2e/kWh (average assumed user grid EF, for China/Europe) =</w:t>
      </w:r>
      <w:r>
        <w:t xml:space="preserve"> </w:t>
      </w:r>
      <w:r>
        <w:rPr>
          <w:bCs/>
          <w:b/>
        </w:rPr>
        <w:t xml:space="preserve">30.0 kg CO2e/unit</w:t>
      </w:r>
    </w:p>
    <w:bookmarkEnd w:id="40"/>
    <w:bookmarkStart w:id="41" w:name="X9f66eef2700632e081dfe139021cb724ffcd2c5"/>
    <w:p>
      <w:pPr>
        <w:pStyle w:val="Heading5"/>
      </w:pPr>
      <w:r>
        <w:t xml:space="preserve">3.2.5. Category 12: End-of-Life Treatment of Sold Products</w:t>
      </w:r>
    </w:p>
    <w:p>
      <w:pPr>
        <w:pStyle w:val="FirstParagraph"/>
      </w:pPr>
      <w:r>
        <w:t xml:space="preserve">Assumed product weight at EoL: 1.5 kg.</w:t>
      </w:r>
    </w:p>
    <w:p>
      <w:pPr>
        <w:numPr>
          <w:ilvl w:val="0"/>
          <w:numId w:val="1014"/>
        </w:numPr>
        <w:pStyle w:val="Compact"/>
      </w:pPr>
      <w:r>
        <w:t xml:space="preserve">Recyclability: 80% (</w:t>
      </w:r>
      <w:r>
        <w:rPr>
          <w:rStyle w:val="VerbatimChar"/>
        </w:rPr>
        <w:t xml:space="preserve">yglvswrgff</w:t>
      </w:r>
      <w:r>
        <w:t xml:space="preserve">) -&gt; 1.5 kg * 0.80 = 1.2 kg recycled</w:t>
      </w:r>
    </w:p>
    <w:p>
      <w:pPr>
        <w:numPr>
          <w:ilvl w:val="0"/>
          <w:numId w:val="1014"/>
        </w:numPr>
        <w:pStyle w:val="Compact"/>
      </w:pPr>
      <w:r>
        <w:t xml:space="preserve">Disposal: 20% -&gt; 1.5 kg * 0.20 = 0.3 kg disposed (landfill)</w:t>
      </w:r>
    </w:p>
    <w:p>
      <w:pPr>
        <w:numPr>
          <w:ilvl w:val="0"/>
          <w:numId w:val="1014"/>
        </w:numPr>
        <w:pStyle w:val="Compact"/>
      </w:pPr>
      <w:r>
        <w:t xml:space="preserve">Disposal Emissions = 0.3 kg * 1.0 kg CO2e/kg (landfill EF) = 0.3 kg CO2e</w:t>
      </w:r>
    </w:p>
    <w:p>
      <w:pPr>
        <w:numPr>
          <w:ilvl w:val="0"/>
          <w:numId w:val="1014"/>
        </w:numPr>
        <w:pStyle w:val="Compact"/>
      </w:pPr>
      <w:r>
        <w:t xml:space="preserve">Recycling Credit = 1.2 kg * -0.5 kg CO2e/kg (recycling credit) = -0.6 kg CO2e</w:t>
      </w:r>
    </w:p>
    <w:p>
      <w:pPr>
        <w:numPr>
          <w:ilvl w:val="0"/>
          <w:numId w:val="1014"/>
        </w:numPr>
        <w:pStyle w:val="Compact"/>
      </w:pPr>
      <w:r>
        <w:t xml:space="preserve">Circular/Take-back Programs:</w:t>
      </w:r>
      <w:r>
        <w:t xml:space="preserve"> </w:t>
      </w:r>
      <w:r>
        <w:rPr>
          <w:rStyle w:val="VerbatimChar"/>
        </w:rPr>
        <w:t xml:space="preserve">imgiwsjqjx</w:t>
      </w:r>
      <w:r>
        <w:t xml:space="preserve"> </w:t>
      </w:r>
      <w:r>
        <w:t xml:space="preserve">- "Advanced take-back program with material recovery" supports the high recyclability rate and effective material loop.</w:t>
      </w:r>
    </w:p>
    <w:p>
      <w:pPr>
        <w:numPr>
          <w:ilvl w:val="0"/>
          <w:numId w:val="1014"/>
        </w:numPr>
        <w:pStyle w:val="Compact"/>
      </w:pPr>
      <w:r>
        <w:t xml:space="preserve">Total EoL Emissions = 0.3 + (-0.6) =</w:t>
      </w:r>
      <w:r>
        <w:t xml:space="preserve"> </w:t>
      </w:r>
      <w:r>
        <w:rPr>
          <w:bCs/>
          <w:b/>
        </w:rPr>
        <w:t xml:space="preserve">-0.3 kg CO2e/unit</w:t>
      </w:r>
      <w:r>
        <w:t xml:space="preserve"> </w:t>
      </w:r>
      <w:r>
        <w:t xml:space="preserve">(Net removal due to high recycling credit)</w:t>
      </w:r>
    </w:p>
    <w:bookmarkEnd w:id="41"/>
    <w:bookmarkEnd w:id="42"/>
    <w:bookmarkEnd w:id="43"/>
    <w:bookmarkStart w:id="44" w:name="summary-of-pcf-by-lifecycle-stage"/>
    <w:p>
      <w:pPr>
        <w:pStyle w:val="Heading3"/>
      </w:pPr>
      <w:r>
        <w:t xml:space="preserve">3.3. Summary of PCF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 CO2e/unit)</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8.90</w:t>
            </w:r>
          </w:p>
        </w:tc>
      </w:tr>
      <w:tr>
        <w:tc>
          <w:tcPr/>
          <w:p>
            <w:pPr>
              <w:pStyle w:val="Compact"/>
              <w:jc w:val="left"/>
            </w:pPr>
            <w:r>
              <w:t xml:space="preserve">Manufacturing (Purchased Energy)</w:t>
            </w:r>
          </w:p>
        </w:tc>
        <w:tc>
          <w:tcPr/>
          <w:p>
            <w:pPr>
              <w:pStyle w:val="Compact"/>
              <w:jc w:val="left"/>
            </w:pPr>
            <w:r>
              <w:t xml:space="preserve">Scope 2</w:t>
            </w:r>
          </w:p>
        </w:tc>
        <w:tc>
          <w:tcPr/>
          <w:p>
            <w:pPr>
              <w:pStyle w:val="Compact"/>
              <w:jc w:val="left"/>
            </w:pPr>
            <w:r>
              <w:t xml:space="preserve">0.075</w:t>
            </w:r>
          </w:p>
        </w:tc>
      </w:tr>
      <w:tr>
        <w:tc>
          <w:tcPr/>
          <w:p>
            <w:pPr>
              <w:pStyle w:val="Compact"/>
              <w:jc w:val="left"/>
            </w:pPr>
            <w:r>
              <w:t xml:space="preserve">Manufacturing (Energy-Related, upstream)</w:t>
            </w:r>
          </w:p>
        </w:tc>
        <w:tc>
          <w:tcPr/>
          <w:p>
            <w:pPr>
              <w:pStyle w:val="Compact"/>
              <w:jc w:val="left"/>
            </w:pPr>
            <w:r>
              <w:t xml:space="preserve">Scope 3 (Category 3)</w:t>
            </w:r>
          </w:p>
        </w:tc>
        <w:tc>
          <w:tcPr/>
          <w:p>
            <w:pPr>
              <w:pStyle w:val="Compact"/>
              <w:jc w:val="left"/>
            </w:pPr>
            <w:r>
              <w:t xml:space="preserve">0.036</w:t>
            </w:r>
          </w:p>
        </w:tc>
      </w:tr>
      <w:tr>
        <w:tc>
          <w:tcPr/>
          <w:p>
            <w:pPr>
              <w:pStyle w:val="Compact"/>
              <w:jc w:val="left"/>
            </w:pPr>
            <w:r>
              <w:t xml:space="preserve">Transport (Upstream)</w:t>
            </w:r>
          </w:p>
        </w:tc>
        <w:tc>
          <w:tcPr/>
          <w:p>
            <w:pPr>
              <w:pStyle w:val="Compact"/>
              <w:jc w:val="left"/>
            </w:pPr>
            <w:r>
              <w:t xml:space="preserve">Scope 3 (Category 4)</w:t>
            </w:r>
          </w:p>
        </w:tc>
        <w:tc>
          <w:tcPr/>
          <w:p>
            <w:pPr>
              <w:pStyle w:val="Compact"/>
              <w:jc w:val="left"/>
            </w:pPr>
            <w:r>
              <w:t xml:space="preserve">0.225</w:t>
            </w:r>
          </w:p>
        </w:tc>
      </w:tr>
      <w:tr>
        <w:tc>
          <w:tcPr/>
          <w:p>
            <w:pPr>
              <w:pStyle w:val="Compact"/>
              <w:jc w:val="left"/>
            </w:pPr>
            <w:r>
              <w:t xml:space="preserve">Transport (Downstream)</w:t>
            </w:r>
          </w:p>
        </w:tc>
        <w:tc>
          <w:tcPr/>
          <w:p>
            <w:pPr>
              <w:pStyle w:val="Compact"/>
              <w:jc w:val="left"/>
            </w:pPr>
            <w:r>
              <w:t xml:space="preserve">Scope 3 (Category 9)</w:t>
            </w:r>
          </w:p>
        </w:tc>
        <w:tc>
          <w:tcPr/>
          <w:p>
            <w:pPr>
              <w:pStyle w:val="Compact"/>
              <w:jc w:val="left"/>
            </w:pPr>
            <w:r>
              <w:t xml:space="preserve">0.50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-0.30</w:t>
            </w:r>
          </w:p>
        </w:tc>
      </w:tr>
      <w:tr>
        <w:tc>
          <w:tcPr>
            <w:gridSpan w:val="2"/>
          </w:tcPr>
          <w:p>
            <w:pPr>
              <w:pStyle w:val="Compact"/>
              <w:jc w:val="right"/>
            </w:pPr>
            <w:r>
              <w:rPr>
                <w:bCs/>
                <w:b/>
              </w:rPr>
              <w:t xml:space="preserve">Total Product Carbon Footprint (kg CO2e/unit):</w:t>
            </w:r>
          </w:p>
        </w:tc>
        <w:tc>
          <w:tcPr/>
          <w:p>
            <w:pPr>
              <w:pStyle w:val="Compact"/>
              <w:jc w:val="left"/>
            </w:pPr>
            <w:r>
              <w:rPr>
                <w:bCs/>
                <w:b/>
              </w:rPr>
              <w:t xml:space="preserve">39.436</w:t>
            </w:r>
          </w:p>
        </w:tc>
      </w:tr>
    </w:tbl>
    <w:bookmarkEnd w:id="44"/>
    <w:bookmarkStart w:id="45" w:name="overall-scope-3-coverage"/>
    <w:p>
      <w:pPr>
        <w:pStyle w:val="Heading3"/>
      </w:pPr>
      <w:r>
        <w:t xml:space="preserve">3.4. Overall Scope 3 Coverage</w:t>
      </w:r>
    </w:p>
    <w:p>
      <w:pPr>
        <w:pStyle w:val="FirstParagraph"/>
      </w:pPr>
      <w:r>
        <w:t xml:space="preserve">The calculated Scope 3 emissions (Categories 1, 3, 4, 9, 11, 12) total 8.90 + 0.036 + 0.225 + 0.50 + 30.00 - 0.30 = 39.361 kg CO2e/unit. The total PCF is 39.436 kg CO2e/unit. The Scope 3 emissions represent 39.361 / 39.436 * 100% = 99.8% of the total PCF, significantly exceeding the 95% coverage requirement for Scope 3 reporting. This indicates a robust and comprehensive assessment of value chain impacts.</w:t>
      </w:r>
    </w:p>
    <w:p>
      <w:r>
        <w:pict>
          <v:rect style="width:0;height:1.5pt" o:hralign="center" o:hrstd="t" o:hr="t"/>
        </w:pict>
      </w:r>
    </w:p>
    <w:bookmarkEnd w:id="45"/>
    <w:bookmarkEnd w:id="46"/>
    <w:bookmarkStart w:id="49" w:name="review-report-hotspots-and-reliability"/>
    <w:p>
      <w:pPr>
        <w:pStyle w:val="Heading2"/>
      </w:pPr>
      <w:r>
        <w:t xml:space="preserve">4. Review &amp; Report: Hotspots and Reliability</w:t>
      </w:r>
    </w:p>
    <w:bookmarkStart w:id="47" w:name="identification-of-hotspots"/>
    <w:p>
      <w:pPr>
        <w:pStyle w:val="Heading3"/>
      </w:pPr>
      <w:r>
        <w:t xml:space="preserve">4.1. Identification of Hotspots</w:t>
      </w:r>
    </w:p>
    <w:p>
      <w:pPr>
        <w:pStyle w:val="FirstParagraph"/>
      </w:pPr>
      <w:r>
        <w:t xml:space="preserve">The analysis reveals the following key emission hotspots for ousyhedufy:</w:t>
      </w:r>
    </w:p>
    <w:p>
      <w:pPr>
        <w:numPr>
          <w:ilvl w:val="0"/>
          <w:numId w:val="1015"/>
        </w:numPr>
        <w:pStyle w:val="Compact"/>
      </w:pPr>
      <w:r>
        <w:rPr>
          <w:bCs/>
          <w:b/>
        </w:rPr>
        <w:t xml:space="preserve">Use Phase (30.00 kg CO2e):</w:t>
      </w:r>
      <w:r>
        <w:t xml:space="preserve"> </w:t>
      </w:r>
      <w:r>
        <w:t xml:space="preserve">This stage contributes the vast majority of the product\'s carbon footprint, primarily due to energy consumption over its 5-year lifespan. This is a critical area for decarbonization efforts.</w:t>
      </w:r>
    </w:p>
    <w:p>
      <w:pPr>
        <w:numPr>
          <w:ilvl w:val="0"/>
          <w:numId w:val="1015"/>
        </w:numPr>
        <w:pStyle w:val="Compact"/>
      </w:pPr>
      <w:r>
        <w:rPr>
          <w:bCs/>
          <w:b/>
        </w:rPr>
        <w:t xml:space="preserve">Materials Acquisition &amp; Processing (8.90 kg CO2e):</w:t>
      </w:r>
      <w:r>
        <w:t xml:space="preserve"> </w:t>
      </w:r>
      <w:r>
        <w:t xml:space="preserve">The production of raw materials, particularly the Lithium-ion Battery and Recycled Aluminum Casing (even with recycling benefits), represents the second largest contributor.</w:t>
      </w:r>
    </w:p>
    <w:p>
      <w:pPr>
        <w:numPr>
          <w:ilvl w:val="0"/>
          <w:numId w:val="1015"/>
        </w:numPr>
        <w:pStyle w:val="Compact"/>
      </w:pPr>
      <w:r>
        <w:rPr>
          <w:bCs/>
          <w:b/>
        </w:rPr>
        <w:t xml:space="preserve">Transport (0.725 kg CO2e):</w:t>
      </w:r>
      <w:r>
        <w:t xml:space="preserve"> </w:t>
      </w:r>
      <w:r>
        <w:t xml:space="preserve">While less significant than the use phase or materials, transportation still offers opportunities for optimization, especially for long-distance modes.</w:t>
      </w:r>
    </w:p>
    <w:bookmarkEnd w:id="47"/>
    <w:bookmarkStart w:id="48" w:name="reliability-and-recommendations"/>
    <w:p>
      <w:pPr>
        <w:pStyle w:val="Heading3"/>
      </w:pPr>
      <w:r>
        <w:t xml:space="preserve">4.2. Reliability and Recommendations</w:t>
      </w:r>
    </w:p>
    <w:p>
      <w:pPr>
        <w:pStyle w:val="FirstParagraph"/>
      </w:pPr>
      <w:r>
        <w:t xml:space="preserve">The reliability of this PCF is considered high given the detailed BOM and specific operational parameters provided. However, the use of illustrative emission factors for generic activities due to data access limitations is an acknowledged assumption. For future refinements, the following recommendations are made:</w:t>
      </w:r>
    </w:p>
    <w:p>
      <w:pPr>
        <w:numPr>
          <w:ilvl w:val="0"/>
          <w:numId w:val="1016"/>
        </w:numPr>
        <w:pStyle w:val="Compact"/>
      </w:pPr>
      <w:r>
        <w:rPr>
          <w:bCs/>
          <w:b/>
        </w:rPr>
        <w:t xml:space="preserve">Primary Data Collection:</w:t>
      </w:r>
      <w:r>
        <w:t xml:space="preserve"> </w:t>
      </w:r>
      <w:r>
        <w:t xml:space="preserve">Prioritize collecting primary data from direct suppliers for material production emissions and inbound logistics to enhance accuracy.</w:t>
      </w:r>
    </w:p>
    <w:p>
      <w:pPr>
        <w:numPr>
          <w:ilvl w:val="0"/>
          <w:numId w:val="1016"/>
        </w:numPr>
        <w:pStyle w:val="Compact"/>
      </w:pPr>
      <w:r>
        <w:rPr>
          <w:bCs/>
          <w:b/>
        </w:rPr>
        <w:t xml:space="preserve">Use Phase Optimization:</w:t>
      </w:r>
      <w:r>
        <w:t xml:space="preserve"> </w:t>
      </w:r>
      <w:r>
        <w:t xml:space="preserve">Investigate opportunities for reducing energy consumption during the use phase (e.g., more energy-efficient design, user behavior nudges). Explore sourcing renewable energy for consumers or providing carbon offsets for product usage.</w:t>
      </w:r>
    </w:p>
    <w:p>
      <w:pPr>
        <w:numPr>
          <w:ilvl w:val="0"/>
          <w:numId w:val="1016"/>
        </w:numPr>
        <w:pStyle w:val="Compact"/>
      </w:pPr>
      <w:r>
        <w:rPr>
          <w:bCs/>
          <w:b/>
        </w:rPr>
        <w:t xml:space="preserve">Material Circularity:</w:t>
      </w:r>
      <w:r>
        <w:t xml:space="preserve"> </w:t>
      </w:r>
      <w:r>
        <w:t xml:space="preserve">Continue to strengthen the "Advanced take-back program with material recovery" (</w:t>
      </w:r>
      <w:r>
        <w:rPr>
          <w:rStyle w:val="VerbatimChar"/>
        </w:rPr>
        <w:t xml:space="preserve">imgiwsjqjx</w:t>
      </w:r>
      <w:r>
        <w:t xml:space="preserve">) and explore design for disassembly to maximize the effectiveness of the 80% recyclability (</w:t>
      </w:r>
      <w:r>
        <w:rPr>
          <w:rStyle w:val="VerbatimChar"/>
        </w:rPr>
        <w:t xml:space="preserve">yglvswrgff</w:t>
      </w:r>
      <w:r>
        <w:t xml:space="preserve">) and potentially increase recycling credits.</w:t>
      </w:r>
    </w:p>
    <w:p>
      <w:pPr>
        <w:numPr>
          <w:ilvl w:val="0"/>
          <w:numId w:val="1016"/>
        </w:numPr>
        <w:pStyle w:val="Compact"/>
      </w:pPr>
      <w:r>
        <w:rPr>
          <w:bCs/>
          <w:b/>
        </w:rPr>
        <w:t xml:space="preserve">Supplier Engagement:</w:t>
      </w:r>
      <w:r>
        <w:t xml:space="preserve"> </w:t>
      </w:r>
      <w:r>
        <w:t xml:space="preserve">Collaborate with key material suppliers to identify and implement emissions reduction strategies in their manufacturing processes.</w:t>
      </w:r>
    </w:p>
    <w:p>
      <w:pPr>
        <w:numPr>
          <w:ilvl w:val="0"/>
          <w:numId w:val="1016"/>
        </w:numPr>
        <w:pStyle w:val="Compact"/>
      </w:pPr>
      <w:r>
        <w:rPr>
          <w:bCs/>
          <w:b/>
        </w:rPr>
        <w:t xml:space="preserve">LSR Standard Implementation:</w:t>
      </w:r>
      <w:r>
        <w:t xml:space="preserve"> </w:t>
      </w:r>
      <w:r>
        <w:t xml:space="preserve">For raw materials with potential agricultural or land-use origins, collect specific data on land management practices, land-use change, and biogenic carbon flows to fully leverage the GHG Protocol LSR Standard.</w:t>
      </w:r>
    </w:p>
    <w:p>
      <w:pPr>
        <w:numPr>
          <w:ilvl w:val="0"/>
          <w:numId w:val="1016"/>
        </w:numPr>
        <w:pStyle w:val="Compact"/>
      </w:pPr>
      <w:r>
        <w:rPr>
          <w:bCs/>
          <w:b/>
        </w:rPr>
        <w:t xml:space="preserve">Continuous Improvement:</w:t>
      </w:r>
      <w:r>
        <w:t xml:space="preserve"> </w:t>
      </w:r>
      <w:r>
        <w:t xml:space="preserve">Regularly update the PCF as new data becomes available and as product design, manufacturing processes, and supply chain logistics evolve.</w:t>
      </w:r>
    </w:p>
    <w:p>
      <w:r>
        <w:pict>
          <v:rect style="width:0;height:1.5pt" o:hralign="center" o:hrstd="t" o:hr="t"/>
        </w:pict>
      </w:r>
    </w:p>
    <w:bookmarkEnd w:id="48"/>
    <w:bookmarkEnd w:id="49"/>
    <w:p>
      <w:pPr>
        <w:pStyle w:val="FirstParagraph"/>
      </w:pPr>
      <w:r>
        <w:t xml:space="preserve">Confidential - Internal Use Only | Page</w:t>
      </w:r>
      <w:r>
        <w:t xml:space="preserve"> </w:t>
      </w:r>
      <w:bookmarkStart w:id="50" w:name="pageNumber"/>
      <w:bookmarkEnd w:id="50"/>
      <w:r>
        <w:t xml:space="preserve"> </w:t>
      </w:r>
      <w:r>
        <w:t xml:space="preserve">of</w:t>
      </w:r>
      <w:r>
        <w:t xml:space="preserve"> </w:t>
      </w:r>
      <w:bookmarkStart w:id="51" w:name="totalPages"/>
      <w:bookmarkEnd w:id="51"/>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ousyhedufy - zzufgnvgjz</dc:title>
  <dc:creator/>
  <dc:description>High-detail Product Carbon Footprint (PCF) analysis for ousyhedufy, conducted by vmnxeerdij for zzufgnvgjz, adhering to GHG Protocol and 2026 LSR updates.</dc:description>
  <dc:language>en</dc:language>
  <cp:keywords/>
  <dcterms:created xsi:type="dcterms:W3CDTF">2026-05-30T23:01:56Z</dcterms:created>
  <dcterms:modified xsi:type="dcterms:W3CDTF">2026-05-30T23:01:56Z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