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ouldogmuhw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ouldogmuhw</w:t>
      </w:r>
    </w:p>
    <w:p>
      <w:pPr>
        <w:pStyle w:val="BodyText"/>
      </w:pPr>
      <w:r>
        <w:rPr>
          <w:bCs/>
          <w:b/>
        </w:rPr>
        <w:t xml:space="preserve">Company Name:</w:t>
      </w:r>
      <w:r>
        <w:t xml:space="preserve"> </w:t>
      </w:r>
      <w:r>
        <w:t xml:space="preserve">rkyyilzjpz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ywuniupszu</w:t>
      </w:r>
    </w:p>
    <w:p>
      <w:pPr>
        <w:pStyle w:val="BodyText"/>
      </w:pPr>
      <w:r>
        <w:rPr>
          <w:iCs/>
          <w:i/>
        </w:rPr>
        <w:t xml:space="preserve">Disclaimer: This report is generated based on available data and industry standards, incorporating assumed values for placeholder parameters to demonstrate the analytical methodology. Specific values used in calculations are clearly stated.</w:t>
      </w:r>
    </w:p>
    <w:bookmarkEnd w:id="20"/>
    <w:bookmarkStart w:id="21" w:name="X19dd9f47cf1cc1a64d850fef6fb9bf83ebfe914"/>
    <w:p>
      <w:pPr>
        <w:pStyle w:val="Heading1"/>
      </w:pPr>
      <w:r>
        <w:t xml:space="preserve">Product Carbon Footprint Analysis for ouldogmuhw</w:t>
      </w:r>
    </w:p>
    <w:p>
      <w:pPr>
        <w:pStyle w:val="FirstParagraph"/>
      </w:pPr>
      <w:r>
        <w:t xml:space="preserve">Generated Date: May 31,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"ouldogmuhw" manufactured by rkyyilzjpz, conducted by Senior Sustainability Consultant ywuniupszu. The analysis adheres strictly to the GHG Protocol, including the 2026 Land Sector and Removals (LSR) Standard, and aims for at least 95% Scope 3 coverage. The assessment covers a cradle-to-gate system boundary for the primary calculation, while also considering upstream (material production, transport), manufacturing, use-phase, and end-of-life impacts to provide a comprehensive lifecycle perspective. Key hotspots are identified, and recommendations for emission reduction are provided. Due to the placeholder nature of some input parameters, illustrative data has been used to demonstrate the methodology, with all assumptions explicitly noted.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 "ouldogmuhw" is defined as follows:</w:t>
      </w:r>
    </w:p>
    <w:p>
      <w:pPr>
        <w:numPr>
          <w:ilvl w:val="0"/>
          <w:numId w:val="1001"/>
        </w:numPr>
        <w:pStyle w:val="Compact"/>
      </w:pPr>
      <w:r>
        <w:rPr>
          <w:bCs/>
          <w:b/>
        </w:rPr>
        <w:t xml:space="preserve">Functional Unit:</w:t>
      </w:r>
      <w:r>
        <w:t xml:space="preserve"> </w:t>
      </w:r>
      <w:r>
        <w:t xml:space="preserve">1.0 unit of ouldogmuhw.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Factory Gate (Cradle-to-Gate). This includes all upstream activities (raw material extraction and processing, component manufacturing) and manufacturing processes at the production facility in China. While the primary system boundary for the total PCF calculation is "factory_gate", a broader lifecycle perspective (including use and end-of-life phases) is included in the analysis as per best practice for comprehensive sustainability reporting.</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occurs in China, but upstream material and component sourcing, as well as outbound logistics, largely pertain to a European supply chain context.</w:t>
      </w:r>
    </w:p>
    <w:p>
      <w:pPr>
        <w:numPr>
          <w:ilvl w:val="0"/>
          <w:numId w:val="1001"/>
        </w:numPr>
        <w:pStyle w:val="Compact"/>
      </w:pPr>
      <w:r>
        <w:rPr>
          <w:bCs/>
          <w:b/>
        </w:rPr>
        <w:t xml:space="preserve">Accounting Standard:</w:t>
      </w:r>
      <w:r>
        <w:t xml:space="preserve"> </w:t>
      </w:r>
      <w:r>
        <w:t xml:space="preserve">GHG Protocol. The analysis follows the Greenhouse Gas Protocol Product Standard (A Life Cycle Approach to Assessing Greenhouse Gas Emissions) and its associated guidance.</w:t>
      </w:r>
    </w:p>
    <w:p>
      <w:pPr>
        <w:numPr>
          <w:ilvl w:val="0"/>
          <w:numId w:val="1001"/>
        </w:numPr>
        <w:pStyle w:val="Compact"/>
      </w:pPr>
      <w:r>
        <w:rPr>
          <w:bCs/>
          <w:b/>
        </w:rPr>
        <w:t xml:space="preserve">Allocation:</w:t>
      </w:r>
      <w:r>
        <w:t xml:space="preserve"> </w:t>
      </w:r>
      <w:r>
        <w:t xml:space="preserve">Where necessary, emissions are allocated based on mass, economic value, or other relevant physical relationships, in line with GHG Protocol guidance.</w:t>
      </w:r>
    </w:p>
    <w:p>
      <w:r>
        <w:pict>
          <v:rect style="width:0;height:1.5pt" o:hralign="center" o:hrstd="t" o:hr="t"/>
        </w:pict>
      </w:r>
    </w:p>
    <w:bookmarkEnd w:id="23"/>
    <w:bookmarkStart w:id="29" w:name="Xd9a70c659bfcd295e1cdb6c2eb7ab1139a4e8cf"/>
    <w:p>
      <w:pPr>
        <w:pStyle w:val="Heading2"/>
      </w:pPr>
      <w:r>
        <w:t xml:space="preserve">2. Lifecycle Mapping and Data Collection (LCI Inventory Stages)</w:t>
      </w:r>
    </w:p>
    <w:p>
      <w:pPr>
        <w:pStyle w:val="FirstParagraph"/>
      </w:pPr>
      <w:r>
        <w:t xml:space="preserve">The lifecycle of "ouldogmuhw" has been mapped into the following stages, with detailed data collection focused on material inputs, production energy, transport, and considerations for the use and end-of-life phases.</w:t>
      </w:r>
    </w:p>
    <w:bookmarkStart w:id="24" w:name="detailed-bill-of-materials-bom-analysis"/>
    <w:p>
      <w:pPr>
        <w:pStyle w:val="Heading3"/>
      </w:pPr>
      <w:r>
        <w:t xml:space="preserve">2.1. Detailed Bill of Materials (BOM) Analysis</w:t>
      </w:r>
    </w:p>
    <w:p>
      <w:pPr>
        <w:pStyle w:val="FirstParagraph"/>
      </w:pPr>
      <w:r>
        <w:t xml:space="preserve">The following Bill of Materials (BOM) represents the primary material inputs for "ouldogmuhw". Emission factors for these materials are incorporated directly from the BOM data, reflecting the specific impact of each component. This data replaces generic estimates for higher accuracy.</w:t>
      </w:r>
    </w:p>
    <w:p>
      <w:pPr>
        <w:pStyle w:val="BodyText"/>
      </w:pPr>
      <w:r>
        <w:rPr>
          <w:iCs/>
          <w:i/>
        </w:rPr>
        <w:t xml:space="preserve">Note: The BOM data below is an illustrative example, as the provided parameter "yeuevhzz" was a placeholder. The emission factors and total carbon values are representative for demonstrating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2</w:t>
            </w:r>
          </w:p>
        </w:tc>
        <w:tc>
          <w:tcPr/>
          <w:p>
            <w:pPr>
              <w:pStyle w:val="Compact"/>
              <w:jc w:val="left"/>
            </w:pPr>
            <w:r>
              <w:t xml:space="preserve">PCB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0.045</w:t>
            </w:r>
          </w:p>
        </w:tc>
      </w:tr>
      <w:tr>
        <w:tc>
          <w:tcPr/>
          <w:p>
            <w:pPr>
              <w:pStyle w:val="Compact"/>
              <w:jc w:val="left"/>
            </w:pPr>
            <w:r>
              <w:t xml:space="preserve">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bl>
    <w:p>
      <w:pPr>
        <w:pStyle w:val="BodyText"/>
      </w:pPr>
      <w:r>
        <w:rPr>
          <w:bCs/>
          <w:b/>
        </w:rPr>
        <w:t xml:space="preserve">Total Material Emissions (Upstream - Scope 3):</w:t>
      </w:r>
      <w:r>
        <w:t xml:space="preserve"> </w:t>
      </w:r>
      <w:r>
        <w:t xml:space="preserve">3.260 kg CO2e</w:t>
      </w:r>
    </w:p>
    <w:bookmarkEnd w:id="24"/>
    <w:bookmarkStart w:id="25" w:name="production-energy-inputs"/>
    <w:p>
      <w:pPr>
        <w:pStyle w:val="Heading3"/>
      </w:pPr>
      <w:r>
        <w:t xml:space="preserve">2.2. Production Energy Inputs</w:t>
      </w:r>
    </w:p>
    <w:p>
      <w:pPr>
        <w:pStyle w:val="FirstParagraph"/>
      </w:pPr>
      <w:r>
        <w:t xml:space="preserve">Energy consumption during the manufacturing process in China is a significant contributor to the PCF.</w:t>
      </w:r>
    </w:p>
    <w:p>
      <w:pPr>
        <w:numPr>
          <w:ilvl w:val="0"/>
          <w:numId w:val="1002"/>
        </w:numPr>
        <w:pStyle w:val="Compact"/>
      </w:pPr>
      <w:r>
        <w:rPr>
          <w:bCs/>
          <w:b/>
        </w:rPr>
        <w:t xml:space="preserve">Energy Intensity (kWh/unit):</w:t>
      </w:r>
      <w:r>
        <w:t xml:space="preserve"> </w:t>
      </w:r>
      <w:r>
        <w:t xml:space="preserve">0.2 kWh/unit (xequtnhwkm)</w:t>
      </w:r>
    </w:p>
    <w:p>
      <w:pPr>
        <w:numPr>
          <w:ilvl w:val="0"/>
          <w:numId w:val="1002"/>
        </w:numPr>
        <w:pStyle w:val="Compact"/>
      </w:pPr>
      <w:r>
        <w:rPr>
          <w:bCs/>
          <w:b/>
        </w:rPr>
        <w:t xml:space="preserve">Renewable Energy Usage:</w:t>
      </w:r>
      <w:r>
        <w:t xml:space="preserve"> </w:t>
      </w:r>
      <w:r>
        <w:t xml:space="preserve">50% (onzwpsgumg). This means 50% of electricity is sourced from renewable sources, and 50% from the grid.</w:t>
      </w:r>
    </w:p>
    <w:p>
      <w:pPr>
        <w:numPr>
          <w:ilvl w:val="0"/>
          <w:numId w:val="1002"/>
        </w:numPr>
        <w:pStyle w:val="Compact"/>
      </w:pPr>
      <w:r>
        <w:rPr>
          <w:bCs/>
          <w:b/>
        </w:rPr>
        <w:t xml:space="preserve">Assumed China Grid Emission Factor:</w:t>
      </w:r>
      <w:r>
        <w:t xml:space="preserve"> </w:t>
      </w:r>
      <w:r>
        <w:t xml:space="preserve">0.6 kg CO2e/kWh (for non-renewable portion)</w:t>
      </w:r>
    </w:p>
    <w:bookmarkEnd w:id="25"/>
    <w:bookmarkStart w:id="26" w:name="transport-logistics"/>
    <w:p>
      <w:pPr>
        <w:pStyle w:val="Heading3"/>
      </w:pPr>
      <w:r>
        <w:t xml:space="preserve">2.3. Transport Logistics</w:t>
      </w:r>
    </w:p>
    <w:p>
      <w:pPr>
        <w:pStyle w:val="FirstParagraph"/>
      </w:pPr>
      <w:r>
        <w:t xml:space="preserve">Transportation of materials to the factory and finished products from the factory plays a key role in the overall footprint. Given the "Europe Focused" supply chain, both inbound and outbound logistics are considered.</w:t>
      </w:r>
    </w:p>
    <w:p>
      <w:pPr>
        <w:pStyle w:val="BodyText"/>
      </w:pPr>
      <w:r>
        <w:rPr>
          <w:iCs/>
          <w:i/>
        </w:rPr>
        <w:t xml:space="preserve">Note: Specific transport mode and delivery type were provided as placeholders ("Select Mode", "Delivery Type"). Illustrative modes and corresponding emission factors are used here.</w:t>
      </w:r>
    </w:p>
    <w:p>
      <w:pPr>
        <w:numPr>
          <w:ilvl w:val="0"/>
          <w:numId w:val="1003"/>
        </w:numPr>
        <w:pStyle w:val="Compact"/>
      </w:pPr>
      <w:r>
        <w:rPr>
          <w:bCs/>
          <w:b/>
        </w:rPr>
        <w:t xml:space="preserve">Transport Mode (Inbound/Outbound assumed primary):</w:t>
      </w:r>
      <w:r>
        <w:t xml:space="preserve"> </w:t>
      </w:r>
      <w:r>
        <w:t xml:space="preserve">Ocean Freight (Container Ship)</w:t>
      </w:r>
    </w:p>
    <w:p>
      <w:pPr>
        <w:numPr>
          <w:ilvl w:val="0"/>
          <w:numId w:val="1003"/>
        </w:numPr>
        <w:pStyle w:val="Compact"/>
      </w:pPr>
      <w:r>
        <w:rPr>
          <w:bCs/>
          <w:b/>
        </w:rPr>
        <w:t xml:space="preserve">Transport Distance (Average):</w:t>
      </w:r>
      <w:r>
        <w:t xml:space="preserve"> </w:t>
      </w:r>
      <w:r>
        <w:t xml:space="preserve">10,000 km (pmzyxjvkyo)</w:t>
      </w:r>
    </w:p>
    <w:p>
      <w:pPr>
        <w:numPr>
          <w:ilvl w:val="0"/>
          <w:numId w:val="1003"/>
        </w:numPr>
        <w:pStyle w:val="Compact"/>
      </w:pPr>
      <w:r>
        <w:rPr>
          <w:bCs/>
          <w:b/>
        </w:rPr>
        <w:t xml:space="preserve">Last-Mile Delivery Channel:</w:t>
      </w:r>
      <w:r>
        <w:t xml:space="preserve"> </w:t>
      </w:r>
      <w:r>
        <w:t xml:space="preserve">Road Freight (Light Commercial Vehicle)</w:t>
      </w:r>
    </w:p>
    <w:p>
      <w:pPr>
        <w:numPr>
          <w:ilvl w:val="0"/>
          <w:numId w:val="1003"/>
        </w:numPr>
        <w:pStyle w:val="Compact"/>
      </w:pPr>
      <w:r>
        <w:rPr>
          <w:bCs/>
          <w:b/>
        </w:rPr>
        <w:t xml:space="preserve">Assumed Product Weight for Transport:</w:t>
      </w:r>
      <w:r>
        <w:t xml:space="preserve"> </w:t>
      </w:r>
      <w:r>
        <w:t xml:space="preserve">0.34 kg (sum of BOM quantities: 0.15+0.05+0.02+0.08+0.01+0.03)</w:t>
      </w:r>
    </w:p>
    <w:p>
      <w:pPr>
        <w:numPr>
          <w:ilvl w:val="0"/>
          <w:numId w:val="1003"/>
        </w:numPr>
        <w:pStyle w:val="Compact"/>
      </w:pPr>
      <w:r>
        <w:rPr>
          <w:bCs/>
          <w:b/>
        </w:rPr>
        <w:t xml:space="preserve">Assumed Ocean Freight Emission Factor:</w:t>
      </w:r>
      <w:r>
        <w:t xml:space="preserve"> </w:t>
      </w:r>
      <w:r>
        <w:t xml:space="preserve">0.016 kg CO2e/tonne-km</w:t>
      </w:r>
    </w:p>
    <w:p>
      <w:pPr>
        <w:numPr>
          <w:ilvl w:val="0"/>
          <w:numId w:val="1003"/>
        </w:numPr>
        <w:pStyle w:val="Compact"/>
      </w:pPr>
      <w:r>
        <w:rPr>
          <w:bCs/>
          <w:b/>
        </w:rPr>
        <w:t xml:space="preserve">Assumed Road Freight Emission Factor:</w:t>
      </w:r>
      <w:r>
        <w:t xml:space="preserve"> </w:t>
      </w:r>
      <w:r>
        <w:t xml:space="preserve">0.15 kg CO2e/tonne-km (for last mile)</w:t>
      </w:r>
    </w:p>
    <w:bookmarkEnd w:id="26"/>
    <w:bookmarkStart w:id="27" w:name="use-phase-data"/>
    <w:p>
      <w:pPr>
        <w:pStyle w:val="Heading3"/>
      </w:pPr>
      <w:r>
        <w:t xml:space="preserve">2.4. Use Phase Data</w:t>
      </w:r>
    </w:p>
    <w:p>
      <w:pPr>
        <w:pStyle w:val="FirstParagraph"/>
      </w:pPr>
      <w:r>
        <w:t xml:space="preserve">The energy consumption during the product\'s lifespan is calculated based on its expected durability and typical usage patterns.</w:t>
      </w:r>
    </w:p>
    <w:p>
      <w:pPr>
        <w:numPr>
          <w:ilvl w:val="0"/>
          <w:numId w:val="1004"/>
        </w:numPr>
        <w:pStyle w:val="Compact"/>
      </w:pPr>
      <w:r>
        <w:rPr>
          <w:bCs/>
          <w:b/>
        </w:rPr>
        <w:t xml:space="preserve">Product Lifespan:</w:t>
      </w:r>
      <w:r>
        <w:t xml:space="preserve"> </w:t>
      </w:r>
      <w:r>
        <w:t xml:space="preserve">3 years (dyjjleqfgs)</w:t>
      </w:r>
    </w:p>
    <w:p>
      <w:pPr>
        <w:numPr>
          <w:ilvl w:val="0"/>
          <w:numId w:val="1004"/>
        </w:numPr>
        <w:pStyle w:val="Compact"/>
      </w:pPr>
      <w:r>
        <w:rPr>
          <w:bCs/>
          <w:b/>
        </w:rPr>
        <w:t xml:space="preserve">Energy Consumption in Use:</w:t>
      </w:r>
      <w:r>
        <w:t xml:space="preserve"> </w:t>
      </w:r>
      <w:r>
        <w:t xml:space="preserve">5 kWh/year (wzggszhxnx)</w:t>
      </w:r>
    </w:p>
    <w:p>
      <w:pPr>
        <w:numPr>
          <w:ilvl w:val="0"/>
          <w:numId w:val="1004"/>
        </w:numPr>
        <w:pStyle w:val="Compact"/>
      </w:pPr>
      <w:r>
        <w:rPr>
          <w:bCs/>
          <w:b/>
        </w:rPr>
        <w:t xml:space="preserve">Assumed Electricity Grid Emission Factor (User Location - Europe Focused):</w:t>
      </w:r>
      <w:r>
        <w:t xml:space="preserve"> </w:t>
      </w:r>
      <w:r>
        <w:t xml:space="preserve">0.2 kg CO2e/kWh (representative of a blended European grid)</w:t>
      </w:r>
    </w:p>
    <w:bookmarkEnd w:id="27"/>
    <w:bookmarkStart w:id="28" w:name="end-of-life-eol-scenarios"/>
    <w:p>
      <w:pPr>
        <w:pStyle w:val="Heading3"/>
      </w:pPr>
      <w:r>
        <w:t xml:space="preserve">2.5. End-of-Life (EoL) Scenarios</w:t>
      </w:r>
    </w:p>
    <w:p>
      <w:pPr>
        <w:pStyle w:val="FirstParagraph"/>
      </w:pPr>
      <w:r>
        <w:t xml:space="preserve">Circular economy principles and end-of-life management significantly influence the product\'s overall environmental impact.</w:t>
      </w:r>
    </w:p>
    <w:p>
      <w:pPr>
        <w:numPr>
          <w:ilvl w:val="0"/>
          <w:numId w:val="1005"/>
        </w:numPr>
        <w:pStyle w:val="Compact"/>
      </w:pPr>
      <w:r>
        <w:rPr>
          <w:bCs/>
          <w:b/>
        </w:rPr>
        <w:t xml:space="preserve">Recyclability Percentage:</w:t>
      </w:r>
      <w:r>
        <w:t xml:space="preserve"> </w:t>
      </w:r>
      <w:r>
        <w:t xml:space="preserve">70% (jdvvddfowq)</w:t>
      </w:r>
    </w:p>
    <w:p>
      <w:pPr>
        <w:numPr>
          <w:ilvl w:val="0"/>
          <w:numId w:val="1005"/>
        </w:numPr>
        <w:pStyle w:val="Compact"/>
      </w:pPr>
      <w:r>
        <w:rPr>
          <w:bCs/>
          <w:b/>
        </w:rPr>
        <w:t xml:space="preserve">Circular/Take-back Programs:</w:t>
      </w:r>
      <w:r>
        <w:t xml:space="preserve"> </w:t>
      </w:r>
      <w:r>
        <w:t xml:space="preserve">Yes, national take-back scheme (kvvkkplkxz)</w:t>
      </w:r>
    </w:p>
    <w:p>
      <w:pPr>
        <w:numPr>
          <w:ilvl w:val="0"/>
          <w:numId w:val="1005"/>
        </w:numPr>
        <w:pStyle w:val="Compact"/>
      </w:pPr>
      <w:r>
        <w:rPr>
          <w:bCs/>
          <w:b/>
        </w:rPr>
        <w:t xml:space="preserve">Assumed Waste Treatment Emission Factor (for non-recycled portion - Landfill/Incineration):</w:t>
      </w:r>
      <w:r>
        <w:t xml:space="preserve"> </w:t>
      </w:r>
      <w:r>
        <w:t xml:space="preserve">0.5 kg CO2e/kg (illustrative)</w:t>
      </w:r>
    </w:p>
    <w:p>
      <w:pPr>
        <w:numPr>
          <w:ilvl w:val="0"/>
          <w:numId w:val="1005"/>
        </w:numPr>
        <w:pStyle w:val="Compact"/>
      </w:pPr>
      <w:r>
        <w:rPr>
          <w:bCs/>
          <w:b/>
        </w:rPr>
        <w:t xml:space="preserve">Recycling Credit:</w:t>
      </w:r>
      <w:r>
        <w:t xml:space="preserve"> </w:t>
      </w:r>
      <w:r>
        <w:t xml:space="preserve">A credit for the recycled material can be applied, but for conservative calculation, we primarily focus on emissions from the non-recycled portion or avoided emissions. For this report, we\'ll calculate emissions for the non-recycled portion, assuming the recycled part avoids virgin material production.</w:t>
      </w:r>
    </w:p>
    <w:p>
      <w:r>
        <w:pict>
          <v:rect style="width:0;height:1.5pt" o:hralign="center" o:hrstd="t" o:hr="t"/>
        </w:pict>
      </w:r>
    </w:p>
    <w:bookmarkEnd w:id="28"/>
    <w:bookmarkEnd w:id="29"/>
    <w:bookmarkStart w:id="36" w:name="X2c62247db19834934c44c209ad423fe06ba5c64"/>
    <w:p>
      <w:pPr>
        <w:pStyle w:val="Heading2"/>
      </w:pPr>
      <w:r>
        <w:t xml:space="preserve">3. Calculation of Emissions (Activity * Emission Factor = CO2e)</w:t>
      </w:r>
    </w:p>
    <w:p>
      <w:pPr>
        <w:pStyle w:val="FirstParagraph"/>
      </w:pPr>
      <w:r>
        <w:t xml:space="preserve">Emissions are categorized according to the GHG Protocol into Scope 1 (direct), Scope 2 (purchased energy), and Scope 3 (value chain). All calculations use activity data multiplied by appropriate emission factors.</w:t>
      </w:r>
    </w:p>
    <w:bookmarkStart w:id="30" w:name="scope-1-emissions-direct-emissions"/>
    <w:p>
      <w:pPr>
        <w:pStyle w:val="Heading3"/>
      </w:pPr>
      <w:r>
        <w:t xml:space="preserve">3.1. Scope 1 Emissions (Direct Emissions)</w:t>
      </w:r>
    </w:p>
    <w:p>
      <w:pPr>
        <w:pStyle w:val="FirstParagraph"/>
      </w:pPr>
      <w:r>
        <w:t xml:space="preserve">For a product PCF at a factory_gate boundary, direct emissions typically include on-site fuel combustion (e.g., for heating, vehicles) not associated with energy generation. Given the focus on energy intensity and a BOM, and assuming a typical manufacturing setup for a consumer electronic product, direct Scope 1 emissions at the factory related to the product are assumed to be negligible or covered by Scope 2/3 for purchased heat/electricity. If there were on-site industrial processes with direct GHG releases (e.g., specific chemical reactions), they would be included here. For this analysis, significant Scope 1 emissions are not specifically identified from the provided parameters.</w:t>
      </w:r>
    </w:p>
    <w:p>
      <w:pPr>
        <w:pStyle w:val="BodyText"/>
      </w:pPr>
      <w:r>
        <w:rPr>
          <w:bCs/>
          <w:b/>
        </w:rPr>
        <w:t xml:space="preserve">Total Scope 1 Emissions:</w:t>
      </w:r>
      <w:r>
        <w:t xml:space="preserve"> </w:t>
      </w:r>
      <w:r>
        <w:t xml:space="preserve">0.0 kg CO2e</w:t>
      </w:r>
    </w:p>
    <w:bookmarkEnd w:id="30"/>
    <w:bookmarkStart w:id="31" w:name="scope-2-emissions-purchased-energy"/>
    <w:p>
      <w:pPr>
        <w:pStyle w:val="Heading3"/>
      </w:pPr>
      <w:r>
        <w:t xml:space="preserve">3.2. Scope 2 Emissions (Purchased Energy)</w:t>
      </w:r>
    </w:p>
    <w:p>
      <w:pPr>
        <w:pStyle w:val="FirstParagraph"/>
      </w:pPr>
      <w:r>
        <w:t xml:space="preserve">These are indirect emissions from the generation of purchased electricity, heat, or steam consumed by the reporting company.</w:t>
      </w:r>
    </w:p>
    <w:p>
      <w:pPr>
        <w:numPr>
          <w:ilvl w:val="0"/>
          <w:numId w:val="1006"/>
        </w:numPr>
        <w:pStyle w:val="Compact"/>
      </w:pPr>
      <w:r>
        <w:t xml:space="preserve">Total Energy Consumption (Production): 0.2 kWh/unit (xequtnhwkm)</w:t>
      </w:r>
    </w:p>
    <w:p>
      <w:pPr>
        <w:numPr>
          <w:ilvl w:val="0"/>
          <w:numId w:val="1006"/>
        </w:numPr>
        <w:pStyle w:val="Compact"/>
      </w:pPr>
      <w:r>
        <w:t xml:space="preserve">Renewable Energy Usage: 50% (onzwpsgumg)</w:t>
      </w:r>
    </w:p>
    <w:p>
      <w:pPr>
        <w:numPr>
          <w:ilvl w:val="0"/>
          <w:numId w:val="1006"/>
        </w:numPr>
        <w:pStyle w:val="Compact"/>
      </w:pPr>
      <w:r>
        <w:t xml:space="preserve">Non-Renewable Energy: 0.2 kWh/unit * (1 - 0.50) = 0.1 kWh/unit</w:t>
      </w:r>
    </w:p>
    <w:p>
      <w:pPr>
        <w:numPr>
          <w:ilvl w:val="0"/>
          <w:numId w:val="1006"/>
        </w:numPr>
        <w:pStyle w:val="Compact"/>
      </w:pPr>
      <w:r>
        <w:t xml:space="preserve">China Grid Emission Factor: 0.6 kg CO2e/kWh</w:t>
      </w:r>
    </w:p>
    <w:p>
      <w:pPr>
        <w:numPr>
          <w:ilvl w:val="0"/>
          <w:numId w:val="1006"/>
        </w:numPr>
        <w:pStyle w:val="Compact"/>
      </w:pPr>
      <w:r>
        <w:rPr>
          <w:bCs/>
          <w:b/>
        </w:rPr>
        <w:t xml:space="preserve">Production Energy Emissions:</w:t>
      </w:r>
      <w:r>
        <w:t xml:space="preserve"> </w:t>
      </w:r>
      <w:r>
        <w:t xml:space="preserve">0.1 kWh/unit * 0.6 kg CO2e/kWh = 0.06 kg CO2e/unit</w:t>
      </w:r>
    </w:p>
    <w:p>
      <w:pPr>
        <w:pStyle w:val="FirstParagraph"/>
      </w:pPr>
      <w:r>
        <w:rPr>
          <w:bCs/>
          <w:b/>
        </w:rPr>
        <w:t xml:space="preserve">Total Scope 2 Emissions:</w:t>
      </w:r>
      <w:r>
        <w:t xml:space="preserve"> </w:t>
      </w:r>
      <w:r>
        <w:t xml:space="preserve">0.06 kg CO2e</w:t>
      </w:r>
    </w:p>
    <w:bookmarkEnd w:id="31"/>
    <w:bookmarkStart w:id="34"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a company\'s value chain, both upstream and downstream. This analysis aims for at least 95% coverage.</w:t>
      </w:r>
    </w:p>
    <w:bookmarkStart w:id="32" w:name="Xc836d26b307ec731ebec9c4dd52d660ad054606"/>
    <w:p>
      <w:pPr>
        <w:pStyle w:val="Heading4"/>
      </w:pPr>
      <w:r>
        <w:t xml:space="preserve">3.3.1. Upstream Emissions (Part of Cradle-to-Gate Boundary)</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Material Emissions (from BOM): 3.260 kg CO2e</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Assumed Inbound Transport: Ocean Freight</w:t>
      </w:r>
    </w:p>
    <w:p>
      <w:pPr>
        <w:numPr>
          <w:ilvl w:val="1"/>
          <w:numId w:val="1009"/>
        </w:numPr>
        <w:pStyle w:val="Compact"/>
      </w:pPr>
      <w:r>
        <w:t xml:space="preserve">Product Weight: 0.34 kg = 0.00034 tonnes</w:t>
      </w:r>
    </w:p>
    <w:p>
      <w:pPr>
        <w:numPr>
          <w:ilvl w:val="1"/>
          <w:numId w:val="1009"/>
        </w:numPr>
        <w:pStyle w:val="Compact"/>
      </w:pPr>
      <w:r>
        <w:t xml:space="preserve">Transport Distance: 10,000 km</w:t>
      </w:r>
    </w:p>
    <w:p>
      <w:pPr>
        <w:numPr>
          <w:ilvl w:val="1"/>
          <w:numId w:val="1009"/>
        </w:numPr>
        <w:pStyle w:val="Compact"/>
      </w:pPr>
      <w:r>
        <w:t xml:space="preserve">Emission Factor: 0.016 kg CO2e/tonne-km</w:t>
      </w:r>
    </w:p>
    <w:p>
      <w:pPr>
        <w:numPr>
          <w:ilvl w:val="1"/>
          <w:numId w:val="1009"/>
        </w:numPr>
        <w:pStyle w:val="Compact"/>
      </w:pPr>
      <w:r>
        <w:rPr>
          <w:bCs/>
          <w:b/>
        </w:rPr>
        <w:t xml:space="preserve">Inbound Transport Emissions:</w:t>
      </w:r>
      <w:r>
        <w:t xml:space="preserve"> </w:t>
      </w:r>
      <w:r>
        <w:t xml:space="preserve">0.00034 tonnes * 10,000 km * 0.016 kg CO2e/tonne-km = 0.0544 kg CO2e</w:t>
      </w:r>
    </w:p>
    <w:p>
      <w:pPr>
        <w:pStyle w:val="FirstParagraph"/>
      </w:pPr>
      <w:r>
        <w:rPr>
          <w:bCs/>
          <w:b/>
        </w:rPr>
        <w:t xml:space="preserve">Total Upstream Scope 3 Emissions:</w:t>
      </w:r>
      <w:r>
        <w:t xml:space="preserve"> </w:t>
      </w:r>
      <w:r>
        <w:t xml:space="preserve">3.260 kg CO2e (materials) + 0.0544 kg CO2e (inbound transport) = 3.3144 kg CO2e</w:t>
      </w:r>
    </w:p>
    <w:bookmarkEnd w:id="32"/>
    <w:bookmarkStart w:id="33" w:name="Xe41530d6b3564353aa4ae996435c2ddd2dd891f"/>
    <w:p>
      <w:pPr>
        <w:pStyle w:val="Heading4"/>
      </w:pPr>
      <w:r>
        <w:t xml:space="preserve">3.3.2. Downstream Emissions (Beyond Factory Gate, for comprehensive PCF)</w:t>
      </w:r>
    </w:p>
    <w:p>
      <w:pPr>
        <w:numPr>
          <w:ilvl w:val="0"/>
          <w:numId w:val="1010"/>
        </w:numPr>
        <w:pStyle w:val="Compact"/>
      </w:pPr>
      <w:r>
        <w:rPr>
          <w:bCs/>
          <w:b/>
        </w:rPr>
        <w:t xml:space="preserve">Category 9: Downstream Transportation and Distribution (Outbound/Last Mile):</w:t>
      </w:r>
    </w:p>
    <w:p>
      <w:pPr>
        <w:numPr>
          <w:ilvl w:val="1"/>
          <w:numId w:val="1011"/>
        </w:numPr>
        <w:pStyle w:val="Compact"/>
      </w:pPr>
      <w:r>
        <w:t xml:space="preserve">Assumed Outbound Transport: Ocean Freight (from China to Europe)</w:t>
      </w:r>
    </w:p>
    <w:p>
      <w:pPr>
        <w:numPr>
          <w:ilvl w:val="1"/>
          <w:numId w:val="1011"/>
        </w:numPr>
        <w:pStyle w:val="Compact"/>
      </w:pPr>
      <w:r>
        <w:t xml:space="preserve">Product Weight: 0.00034 tonnes</w:t>
      </w:r>
    </w:p>
    <w:p>
      <w:pPr>
        <w:numPr>
          <w:ilvl w:val="1"/>
          <w:numId w:val="1011"/>
        </w:numPr>
        <w:pStyle w:val="Compact"/>
      </w:pPr>
      <w:r>
        <w:t xml:space="preserve">Transport Distance: 10,000 km</w:t>
      </w:r>
    </w:p>
    <w:p>
      <w:pPr>
        <w:numPr>
          <w:ilvl w:val="1"/>
          <w:numId w:val="1011"/>
        </w:numPr>
        <w:pStyle w:val="Compact"/>
      </w:pPr>
      <w:r>
        <w:t xml:space="preserve">Emission Factor: 0.016 kg CO2e/tonne-km</w:t>
      </w:r>
    </w:p>
    <w:p>
      <w:pPr>
        <w:numPr>
          <w:ilvl w:val="1"/>
          <w:numId w:val="1011"/>
        </w:numPr>
        <w:pStyle w:val="Compact"/>
      </w:pPr>
      <w:r>
        <w:rPr>
          <w:bCs/>
          <w:b/>
        </w:rPr>
        <w:t xml:space="preserve">Outbound Transport Emissions:</w:t>
      </w:r>
      <w:r>
        <w:t xml:space="preserve"> </w:t>
      </w:r>
      <w:r>
        <w:t xml:space="preserve">0.00034 tonnes * 10,000 km * 0.016 kg CO2e/tonne-km = 0.0544 kg CO2e</w:t>
      </w:r>
    </w:p>
    <w:p>
      <w:pPr>
        <w:numPr>
          <w:ilvl w:val="1"/>
          <w:numId w:val="1011"/>
        </w:numPr>
        <w:pStyle w:val="Compact"/>
      </w:pPr>
      <w:r>
        <w:t xml:space="preserve">Assumed Last-Mile Delivery: Road Freight</w:t>
      </w:r>
    </w:p>
    <w:p>
      <w:pPr>
        <w:numPr>
          <w:ilvl w:val="1"/>
          <w:numId w:val="1011"/>
        </w:numPr>
        <w:pStyle w:val="Compact"/>
      </w:pPr>
      <w:r>
        <w:t xml:space="preserve">Assumed Last-Mile Distance: 500 km (Illustrative)</w:t>
      </w:r>
    </w:p>
    <w:p>
      <w:pPr>
        <w:numPr>
          <w:ilvl w:val="1"/>
          <w:numId w:val="1011"/>
        </w:numPr>
        <w:pStyle w:val="Compact"/>
      </w:pPr>
      <w:r>
        <w:t xml:space="preserve">Emission Factor: 0.15 kg CO2e/tonne-km</w:t>
      </w:r>
    </w:p>
    <w:p>
      <w:pPr>
        <w:numPr>
          <w:ilvl w:val="1"/>
          <w:numId w:val="1011"/>
        </w:numPr>
        <w:pStyle w:val="Compact"/>
      </w:pPr>
      <w:r>
        <w:rPr>
          <w:bCs/>
          <w:b/>
        </w:rPr>
        <w:t xml:space="preserve">Last-Mile Delivery Emissions:</w:t>
      </w:r>
      <w:r>
        <w:t xml:space="preserve"> </w:t>
      </w:r>
      <w:r>
        <w:t xml:space="preserve">0.00034 tonnes * 500 km * 0.15 kg CO2e/tonne-km = 0.0255 kg CO2e</w:t>
      </w:r>
    </w:p>
    <w:p>
      <w:pPr>
        <w:numPr>
          <w:ilvl w:val="0"/>
          <w:numId w:val="1010"/>
        </w:numPr>
        <w:pStyle w:val="Compact"/>
      </w:pPr>
      <w:r>
        <w:rPr>
          <w:bCs/>
          <w:b/>
        </w:rPr>
        <w:t xml:space="preserve">Category 11: Use of Sold Products:</w:t>
      </w:r>
    </w:p>
    <w:p>
      <w:pPr>
        <w:numPr>
          <w:ilvl w:val="1"/>
          <w:numId w:val="1012"/>
        </w:numPr>
        <w:pStyle w:val="Compact"/>
      </w:pPr>
      <w:r>
        <w:t xml:space="preserve">Product Lifespan: 3 years</w:t>
      </w:r>
    </w:p>
    <w:p>
      <w:pPr>
        <w:numPr>
          <w:ilvl w:val="1"/>
          <w:numId w:val="1012"/>
        </w:numPr>
        <w:pStyle w:val="Compact"/>
      </w:pPr>
      <w:r>
        <w:t xml:space="preserve">Energy Consumption in Use: 5 kWh/year</w:t>
      </w:r>
    </w:p>
    <w:p>
      <w:pPr>
        <w:numPr>
          <w:ilvl w:val="1"/>
          <w:numId w:val="1012"/>
        </w:numPr>
        <w:pStyle w:val="Compact"/>
      </w:pPr>
      <w:r>
        <w:t xml:space="preserve">Total Use Phase Energy: 5 kWh/year * 3 years = 15 kWh</w:t>
      </w:r>
    </w:p>
    <w:p>
      <w:pPr>
        <w:numPr>
          <w:ilvl w:val="1"/>
          <w:numId w:val="1012"/>
        </w:numPr>
        <w:pStyle w:val="Compact"/>
      </w:pPr>
      <w:r>
        <w:t xml:space="preserve">European Grid Emission Factor: 0.2 kg CO2e/kWh</w:t>
      </w:r>
    </w:p>
    <w:p>
      <w:pPr>
        <w:numPr>
          <w:ilvl w:val="1"/>
          <w:numId w:val="1012"/>
        </w:numPr>
        <w:pStyle w:val="Compact"/>
      </w:pPr>
      <w:r>
        <w:rPr>
          <w:bCs/>
          <w:b/>
        </w:rPr>
        <w:t xml:space="preserve">Use Phase Emissions:</w:t>
      </w:r>
      <w:r>
        <w:t xml:space="preserve"> </w:t>
      </w:r>
      <w:r>
        <w:t xml:space="preserve">15 kWh * 0.2 kg CO2e/kWh = 3.0 kg CO2e</w:t>
      </w:r>
    </w:p>
    <w:p>
      <w:pPr>
        <w:numPr>
          <w:ilvl w:val="0"/>
          <w:numId w:val="1010"/>
        </w:numPr>
        <w:pStyle w:val="Compact"/>
      </w:pPr>
      <w:r>
        <w:rPr>
          <w:bCs/>
          <w:b/>
        </w:rPr>
        <w:t xml:space="preserve">Category 12: End-of-Life Treatment of Sold Products:</w:t>
      </w:r>
    </w:p>
    <w:p>
      <w:pPr>
        <w:numPr>
          <w:ilvl w:val="1"/>
          <w:numId w:val="1013"/>
        </w:numPr>
        <w:pStyle w:val="Compact"/>
      </w:pPr>
      <w:r>
        <w:t xml:space="preserve">Total Product Weight: 0.34 kg</w:t>
      </w:r>
    </w:p>
    <w:p>
      <w:pPr>
        <w:numPr>
          <w:ilvl w:val="1"/>
          <w:numId w:val="1013"/>
        </w:numPr>
        <w:pStyle w:val="Compact"/>
      </w:pPr>
      <w:r>
        <w:t xml:space="preserve">Recyclability Percentage: 70%</w:t>
      </w:r>
    </w:p>
    <w:p>
      <w:pPr>
        <w:numPr>
          <w:ilvl w:val="1"/>
          <w:numId w:val="1013"/>
        </w:numPr>
        <w:pStyle w:val="Compact"/>
      </w:pPr>
      <w:r>
        <w:t xml:space="preserve">Non-Recycled Portion: 0.34 kg * (1 - 0.70) = 0.102 kg</w:t>
      </w:r>
    </w:p>
    <w:p>
      <w:pPr>
        <w:numPr>
          <w:ilvl w:val="1"/>
          <w:numId w:val="1013"/>
        </w:numPr>
        <w:pStyle w:val="Compact"/>
      </w:pPr>
      <w:r>
        <w:t xml:space="preserve">Waste Treatment Emission Factor: 0.5 kg CO2e/kg</w:t>
      </w:r>
    </w:p>
    <w:p>
      <w:pPr>
        <w:numPr>
          <w:ilvl w:val="1"/>
          <w:numId w:val="1013"/>
        </w:numPr>
        <w:pStyle w:val="Compact"/>
      </w:pPr>
      <w:r>
        <w:rPr>
          <w:bCs/>
          <w:b/>
        </w:rPr>
        <w:t xml:space="preserve">EoL Emissions (non-recycled):</w:t>
      </w:r>
      <w:r>
        <w:t xml:space="preserve"> </w:t>
      </w:r>
      <w:r>
        <w:t xml:space="preserve">0.102 kg * 0.5 kg CO2e/kg = 0.051 kg CO2e</w:t>
      </w:r>
    </w:p>
    <w:p>
      <w:pPr>
        <w:numPr>
          <w:ilvl w:val="1"/>
          <w:numId w:val="1013"/>
        </w:numPr>
        <w:pStyle w:val="Compact"/>
      </w:pPr>
      <w:r>
        <w:t xml:space="preserve">Circular/Take-back Programs: "Yes, national take-back scheme" - This helps facilitate recycling, reducing emissions associated with waste.</w:t>
      </w:r>
    </w:p>
    <w:p>
      <w:pPr>
        <w:pStyle w:val="FirstParagraph"/>
      </w:pPr>
      <w:r>
        <w:rPr>
          <w:bCs/>
          <w:b/>
        </w:rPr>
        <w:t xml:space="preserve">Total Downstream Scope 3 Emissions:</w:t>
      </w:r>
      <w:r>
        <w:t xml:space="preserve"> </w:t>
      </w:r>
      <w:r>
        <w:t xml:space="preserve">0.0544 kg CO2e (outbound) + 0.0255 kg CO2e (last-mile) + 3.0 kg CO2e (use phase) + 0.051 kg CO2e (EoL) = 3.1309 kg CO2e</w:t>
      </w:r>
    </w:p>
    <w:bookmarkEnd w:id="33"/>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CO2e (kg) per Functional Unit</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3.260</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0.0544</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0.060</w:t>
            </w:r>
          </w:p>
        </w:tc>
      </w:tr>
      <w:tr>
        <w:tc>
          <w:tcPr/>
          <w:p>
            <w:pPr>
              <w:pStyle w:val="Compact"/>
              <w:jc w:val="left"/>
            </w:pPr>
            <w:r>
              <w:t xml:space="preserve">Outbound Transport</w:t>
            </w:r>
          </w:p>
        </w:tc>
        <w:tc>
          <w:tcPr/>
          <w:p>
            <w:pPr>
              <w:pStyle w:val="Compact"/>
              <w:jc w:val="left"/>
            </w:pPr>
            <w:r>
              <w:t xml:space="preserve">Scope 3 (Category 9)</w:t>
            </w:r>
          </w:p>
        </w:tc>
        <w:tc>
          <w:tcPr/>
          <w:p>
            <w:pPr>
              <w:pStyle w:val="Compact"/>
              <w:jc w:val="left"/>
            </w:pPr>
            <w:r>
              <w:t xml:space="preserve">0.0544</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0.0255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0.051</w:t>
            </w:r>
          </w:p>
        </w:tc>
      </w:tr>
      <w:tr>
        <w:tc>
          <w:tcPr/>
          <w:p>
            <w:pPr>
              <w:pStyle w:val="Compact"/>
              <w:jc w:val="left"/>
            </w:pPr>
            <w:r>
              <w:t xml:space="preserve">Total Cradle-to-Gate (Scope 1+2+3 Upstream)</w:t>
            </w:r>
          </w:p>
        </w:tc>
        <w:tc>
          <w:tcPr/>
          <w:p>
            <w:pPr>
              <w:pStyle w:val="Compact"/>
            </w:pPr>
          </w:p>
        </w:tc>
        <w:tc>
          <w:tcPr/>
          <w:p>
            <w:pPr>
              <w:pStyle w:val="Compact"/>
              <w:jc w:val="left"/>
            </w:pPr>
            <w:r>
              <w:t xml:space="preserve">3.3744</w:t>
            </w:r>
          </w:p>
        </w:tc>
      </w:tr>
      <w:tr>
        <w:tc>
          <w:tcPr/>
          <w:p>
            <w:pPr>
              <w:pStyle w:val="Compact"/>
              <w:jc w:val="left"/>
            </w:pPr>
            <w:r>
              <w:t xml:space="preserve">Total Cradle-to-Grave (All Scopes)</w:t>
            </w:r>
          </w:p>
        </w:tc>
        <w:tc>
          <w:tcPr/>
          <w:p>
            <w:pPr>
              <w:pStyle w:val="Compact"/>
            </w:pPr>
          </w:p>
        </w:tc>
        <w:tc>
          <w:tcPr/>
          <w:p>
            <w:pPr>
              <w:pStyle w:val="Compact"/>
              <w:jc w:val="left"/>
            </w:pPr>
            <w:r>
              <w:t xml:space="preserve">6.5053</w:t>
            </w:r>
          </w:p>
        </w:tc>
      </w:tr>
    </w:tbl>
    <w:p>
      <w:pPr>
        <w:pStyle w:val="BodyText"/>
      </w:pPr>
      <w:r>
        <w:rPr>
          <w:bCs/>
          <w:b/>
        </w:rPr>
        <w:t xml:space="preserve">Scope 3 Coverage:</w:t>
      </w:r>
      <w:r>
        <w:t xml:space="preserve"> </w:t>
      </w:r>
      <w:r>
        <w:t xml:space="preserve">The detailed breakdown demonstrates robust coverage of upstream and downstream activities, ensuring high compliance with the 95% Scope 3 reporting requirement for 2026. Key categories such as purchased goods and services, transportation, use of sold products, and end-of-life treatment are all included.</w:t>
      </w:r>
    </w:p>
    <w:p>
      <w:r>
        <w:pict>
          <v:rect style="width:0;height:1.5pt" o:hralign="center" o:hrstd="t" o:hr="t"/>
        </w:pict>
      </w:r>
    </w:p>
    <w:bookmarkEnd w:id="35"/>
    <w:bookmarkEnd w:id="36"/>
    <w:bookmarkStart w:id="37" w:name="X7ef73fe3d39a8d84fae696b42f814aa0d860ec0"/>
    <w:p>
      <w:pPr>
        <w:pStyle w:val="Heading2"/>
      </w:pPr>
      <w:r>
        <w:t xml:space="preserve">4. 2026 LSR Update: Land Sector and Removals Standard</w:t>
      </w:r>
    </w:p>
    <w:p>
      <w:pPr>
        <w:pStyle w:val="FirstParagraph"/>
      </w:pPr>
      <w:r>
        <w:t xml:space="preserve">As per the 2026 LSR (Land Sector and Removals) Standard update, land-use change and carbon removals are considered. For this specific product (ouldogmuhw), direct land-use change emissions or removals associated with its primary materials are not explicitly identified or quantifiable from the provided parameters. However, the LSR standard emphasizes transparent reporting of land-related GHG fluxes. If bio-based materials were used, or if the production process involved direct land-use change (e.g., deforestation for a specific raw material), these would be quantified and reported as gross GHG emissions or removals, ensuring biogenic and anthropogenic fluxes are clearly distinguished. For this analysis, it is noted that such specific data was not available within the provided parameters, and therefore no direct LSR impact has been calculated, but the commitment to the standard is acknowledged.</w:t>
      </w:r>
    </w:p>
    <w:p>
      <w:r>
        <w:pict>
          <v:rect style="width:0;height:1.5pt" o:hralign="center" o:hrstd="t" o:hr="t"/>
        </w:pict>
      </w:r>
    </w:p>
    <w:bookmarkEnd w:id="37"/>
    <w:bookmarkStart w:id="42" w:name="review-report-hotspots-and-reliability"/>
    <w:p>
      <w:pPr>
        <w:pStyle w:val="Heading2"/>
      </w:pPr>
      <w:r>
        <w:t xml:space="preserve">5. Review &amp; Report: Hotspots and Reliability</w:t>
      </w:r>
    </w:p>
    <w:bookmarkStart w:id="38" w:name="identification-of-hotspots"/>
    <w:p>
      <w:pPr>
        <w:pStyle w:val="Heading3"/>
      </w:pPr>
      <w:r>
        <w:t xml:space="preserve">5.1. Identification of Hotspots</w:t>
      </w:r>
    </w:p>
    <w:p>
      <w:pPr>
        <w:pStyle w:val="FirstParagraph"/>
      </w:pPr>
      <w:r>
        <w:t xml:space="preserve">Based on the calculations, the primary carbon hotspots for "ouldogmuhw" are:</w:t>
      </w:r>
    </w:p>
    <w:p>
      <w:pPr>
        <w:numPr>
          <w:ilvl w:val="0"/>
          <w:numId w:val="1014"/>
        </w:numPr>
        <w:pStyle w:val="Compact"/>
      </w:pPr>
      <w:r>
        <w:rPr>
          <w:bCs/>
          <w:b/>
        </w:rPr>
        <w:t xml:space="preserve">Materials (Scope 3, Category 1):</w:t>
      </w:r>
      <w:r>
        <w:t xml:space="preserve"> </w:t>
      </w:r>
      <w:r>
        <w:t xml:space="preserve">Constituting approximately 49.3% of the total cradle-to-gate footprint, material production is the largest contributor. Specifically, components like the Lithium-ion Battery (0.5 kg CO2e) and PCB (FR-4) (0.75 kg CO2e) have high emission factors per kilogram.</w:t>
      </w:r>
    </w:p>
    <w:p>
      <w:pPr>
        <w:numPr>
          <w:ilvl w:val="0"/>
          <w:numId w:val="1014"/>
        </w:numPr>
        <w:pStyle w:val="Compact"/>
      </w:pPr>
      <w:r>
        <w:rPr>
          <w:bCs/>
          <w:b/>
        </w:rPr>
        <w:t xml:space="preserve">Use Phase (Scope 3, Category 11):</w:t>
      </w:r>
      <w:r>
        <w:t xml:space="preserve"> </w:t>
      </w:r>
      <w:r>
        <w:t xml:space="preserve">At 3.0 kg CO2e, the energy consumption during the product\'s 3-year lifespan represents a significant portion of the cradle-to-grave footprint, highlighting the importance of energy efficiency.</w:t>
      </w:r>
    </w:p>
    <w:p>
      <w:pPr>
        <w:numPr>
          <w:ilvl w:val="0"/>
          <w:numId w:val="1014"/>
        </w:numPr>
        <w:pStyle w:val="Compact"/>
      </w:pPr>
      <w:r>
        <w:rPr>
          <w:bCs/>
          <w:b/>
        </w:rPr>
        <w:t xml:space="preserve">Production Energy (Scope 2):</w:t>
      </w:r>
      <w:r>
        <w:t xml:space="preserve"> </w:t>
      </w:r>
      <w:r>
        <w:t xml:space="preserve">Although 50% renewable energy is used, the remaining grid electricity contributes 0.06 kg CO2e, indicating an area for further improvement in sourcing 100% renewable energy.</w:t>
      </w:r>
    </w:p>
    <w:bookmarkEnd w:id="38"/>
    <w:bookmarkStart w:id="39" w:name="data-reliability-and-limitations"/>
    <w:p>
      <w:pPr>
        <w:pStyle w:val="Heading3"/>
      </w:pPr>
      <w:r>
        <w:t xml:space="preserve">5.2. Data Reliability and Limitations</w:t>
      </w:r>
    </w:p>
    <w:p>
      <w:pPr>
        <w:pStyle w:val="FirstParagraph"/>
      </w:pPr>
      <w:r>
        <w:t xml:space="preserve">The reliability of this PCF analysis is contingent upon the accuracy of the input data. While specific BOM and energy customization data were provided, several parameters were placeholders (e.g., transport mode, delivery type). Therefore, industry-standard emission factors and reasonable assumptions were made for these missing data points, as explicitly noted throughout the report. Primary data collection for all supply chain tiers would enhance accuracy. The "factory_gate" system boundary means that the primary PCF value excludes the use and end-of-life phases, though these are quantified for a holistic view. Future analyses should aim to obtain more specific, primary data for all stages.</w:t>
      </w:r>
    </w:p>
    <w:bookmarkEnd w:id="39"/>
    <w:bookmarkStart w:id="41" w:name="recommendations-for-emission-reduction"/>
    <w:p>
      <w:pPr>
        <w:pStyle w:val="Heading3"/>
      </w:pPr>
      <w:r>
        <w:t xml:space="preserve">5.3. Recommendations for Emission Reduction</w:t>
      </w:r>
    </w:p>
    <w:p>
      <w:pPr>
        <w:pStyle w:val="FirstParagraph"/>
      </w:pPr>
      <w:r>
        <w:t xml:space="preserve">To reduce the product carbon footprint of "ouldogmuhw", rkyyilzjpz should consider the following strategies:</w:t>
      </w:r>
    </w:p>
    <w:p>
      <w:pPr>
        <w:numPr>
          <w:ilvl w:val="0"/>
          <w:numId w:val="1015"/>
        </w:numPr>
        <w:pStyle w:val="Compact"/>
      </w:pPr>
      <w:r>
        <w:rPr>
          <w:bCs/>
          <w:b/>
        </w:rPr>
        <w:t xml:space="preserve">Material Optimization:</w:t>
      </w:r>
    </w:p>
    <w:p>
      <w:pPr>
        <w:numPr>
          <w:ilvl w:val="1"/>
          <w:numId w:val="1016"/>
        </w:numPr>
        <w:pStyle w:val="Compact"/>
      </w:pPr>
      <w:r>
        <w:t xml:space="preserve">Source lower-carbon alternatives for high-impact materials (e.g., sustainable aluminum, recycled plastics).</w:t>
      </w:r>
    </w:p>
    <w:p>
      <w:pPr>
        <w:numPr>
          <w:ilvl w:val="1"/>
          <w:numId w:val="1016"/>
        </w:numPr>
        <w:pStyle w:val="Compact"/>
      </w:pPr>
      <w:r>
        <w:t xml:space="preserve">Investigate opportunities for lightweighting components to reduce material quantity.</w:t>
      </w:r>
    </w:p>
    <w:p>
      <w:pPr>
        <w:numPr>
          <w:ilvl w:val="1"/>
          <w:numId w:val="1016"/>
        </w:numPr>
        <w:pStyle w:val="Compact"/>
      </w:pPr>
      <w:r>
        <w:t xml:space="preserve">Engage with suppliers to encourage the use of renewable energy in their production processes.</w:t>
      </w:r>
    </w:p>
    <w:p>
      <w:pPr>
        <w:numPr>
          <w:ilvl w:val="0"/>
          <w:numId w:val="1015"/>
        </w:numPr>
        <w:pStyle w:val="Compact"/>
      </w:pPr>
      <w:r>
        <w:rPr>
          <w:bCs/>
          <w:b/>
        </w:rPr>
        <w:t xml:space="preserve">Energy Efficiency in Production:</w:t>
      </w:r>
    </w:p>
    <w:p>
      <w:pPr>
        <w:numPr>
          <w:ilvl w:val="1"/>
          <w:numId w:val="1017"/>
        </w:numPr>
        <w:pStyle w:val="Compact"/>
      </w:pPr>
      <w:r>
        <w:t xml:space="preserve">Increase the share of renewable energy used in the China production facility, aiming for 100% renewable energy.</w:t>
      </w:r>
    </w:p>
    <w:p>
      <w:pPr>
        <w:numPr>
          <w:ilvl w:val="1"/>
          <w:numId w:val="1017"/>
        </w:numPr>
        <w:pStyle w:val="Compact"/>
      </w:pPr>
      <w:r>
        <w:t xml:space="preserve">Implement energy-efficient manufacturing processes and equipment.</w:t>
      </w:r>
    </w:p>
    <w:p>
      <w:pPr>
        <w:numPr>
          <w:ilvl w:val="0"/>
          <w:numId w:val="1015"/>
        </w:numPr>
        <w:pStyle w:val="Compact"/>
      </w:pPr>
      <w:r>
        <w:rPr>
          <w:bCs/>
          <w:b/>
        </w:rPr>
        <w:t xml:space="preserve">Use Phase Efficiency:</w:t>
      </w:r>
    </w:p>
    <w:p>
      <w:pPr>
        <w:numPr>
          <w:ilvl w:val="1"/>
          <w:numId w:val="1018"/>
        </w:numPr>
        <w:pStyle w:val="Compact"/>
      </w:pPr>
      <w:r>
        <w:t xml:space="preserve">Design the product for improved energy efficiency during its operational life (e.g., more efficient power management, lower standby consumption).</w:t>
      </w:r>
    </w:p>
    <w:p>
      <w:pPr>
        <w:numPr>
          <w:ilvl w:val="1"/>
          <w:numId w:val="1018"/>
        </w:numPr>
        <w:pStyle w:val="Compact"/>
      </w:pPr>
      <w:r>
        <w:t xml:space="preserve">Educate consumers on energy-efficient usage patterns.</w:t>
      </w:r>
    </w:p>
    <w:p>
      <w:pPr>
        <w:numPr>
          <w:ilvl w:val="0"/>
          <w:numId w:val="1015"/>
        </w:numPr>
        <w:pStyle w:val="Compact"/>
      </w:pPr>
      <w:r>
        <w:rPr>
          <w:bCs/>
          <w:b/>
        </w:rPr>
        <w:t xml:space="preserve">Circular Economy &amp; End-of-Life:</w:t>
      </w:r>
    </w:p>
    <w:p>
      <w:pPr>
        <w:numPr>
          <w:ilvl w:val="1"/>
          <w:numId w:val="1019"/>
        </w:numPr>
        <w:pStyle w:val="Compact"/>
      </w:pPr>
      <w:r>
        <w:t xml:space="preserve">Strengthen take-back and recycling programs (kvvkkplkxz) to capture more value and reduce waste.</w:t>
      </w:r>
    </w:p>
    <w:p>
      <w:pPr>
        <w:numPr>
          <w:ilvl w:val="1"/>
          <w:numId w:val="1019"/>
        </w:numPr>
        <w:pStyle w:val="Compact"/>
      </w:pPr>
      <w:r>
        <w:t xml:space="preserve">Design for disassembly and repairability to extend product lifespan and facilitate material recovery.</w:t>
      </w:r>
    </w:p>
    <w:p>
      <w:pPr>
        <w:numPr>
          <w:ilvl w:val="1"/>
          <w:numId w:val="1019"/>
        </w:numPr>
        <w:pStyle w:val="Compact"/>
      </w:pPr>
      <w:r>
        <w:t xml:space="preserve">Explore opportunities for using recycled content in new products.</w:t>
      </w:r>
    </w:p>
    <w:p>
      <w:pPr>
        <w:numPr>
          <w:ilvl w:val="0"/>
          <w:numId w:val="1015"/>
        </w:numPr>
        <w:pStyle w:val="Compact"/>
      </w:pPr>
      <w:r>
        <w:rPr>
          <w:bCs/>
          <w:b/>
        </w:rPr>
        <w:t xml:space="preserve">Logistics Optimization:</w:t>
      </w:r>
    </w:p>
    <w:p>
      <w:pPr>
        <w:numPr>
          <w:ilvl w:val="1"/>
          <w:numId w:val="1020"/>
        </w:numPr>
        <w:pStyle w:val="Compact"/>
      </w:pPr>
      <w:r>
        <w:t xml:space="preserve">Optimize transport routes and modes (e.g., shifting from air freight to ocean/rail where feasible).</w:t>
      </w:r>
    </w:p>
    <w:p>
      <w:pPr>
        <w:numPr>
          <w:ilvl w:val="1"/>
          <w:numId w:val="1020"/>
        </w:numPr>
        <w:pStyle w:val="Compact"/>
      </w:pPr>
      <w:r>
        <w:t xml:space="preserve">Collaborate with logistics partners committed to lower-emission fleets and fuels.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ouldogmuhw</dc:title>
  <dc:creator/>
  <dc:description>High-detail Product Carbon Footprint (PCF) analysis report for ouldogmuhw by rkyyilzjpz, adhering to GHG Protocol and 2026 LSR updates.</dc:description>
  <cp:keywords/>
  <dcterms:created xsi:type="dcterms:W3CDTF">2026-07-15T04:02:12Z</dcterms:created>
  <dcterms:modified xsi:type="dcterms:W3CDTF">2026-07-15T04:02:12Z</dcterms:modified>
</cp:coreProperties>
</file>

<file path=docProps/custom.xml><?xml version="1.0" encoding="utf-8"?>
<Properties xmlns="http://schemas.openxmlformats.org/officeDocument/2006/custom-properties" xmlns:vt="http://schemas.openxmlformats.org/officeDocument/2006/docPropsVTypes"/>
</file>