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oudxvesmoh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oudxvesmoh</w:t>
      </w:r>
    </w:p>
    <w:p>
      <w:pPr>
        <w:pStyle w:val="BodyText"/>
      </w:pPr>
      <w:r>
        <w:rPr>
          <w:bCs/>
          <w:b/>
        </w:rPr>
        <w:t xml:space="preserve">Company Name:</w:t>
      </w:r>
      <w:r>
        <w:t xml:space="preserve"> </w:t>
      </w:r>
      <w:r>
        <w:t xml:space="preserve">veyeenklxh</w:t>
      </w:r>
    </w:p>
    <w:p>
      <w:pPr>
        <w:pStyle w:val="BodyText"/>
      </w:pPr>
      <w:r>
        <w:rPr>
          <w:bCs/>
          <w:b/>
        </w:rPr>
        <w:t xml:space="preserve">Senior Sustainability Consultant:</w:t>
      </w:r>
      <w:r>
        <w:t xml:space="preserve"> </w:t>
      </w:r>
      <w:r>
        <w:t xml:space="preserve">mnfetqpeni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for veyeenklxh\'s product oudxvesmoh. While every effort has been made to ensure accuracy and adherence to methodological requirements, the results are indicative and subject to the quality and completeness of the input data.*</w:t>
      </w:r>
    </w:p>
    <w:bookmarkEnd w:id="20"/>
    <w:bookmarkStart w:id="21" w:name="Xd53701f9d1b000657c500ee007bbdc0cd77ddf5"/>
    <w:p>
      <w:pPr>
        <w:pStyle w:val="Heading1"/>
      </w:pPr>
      <w:r>
        <w:t xml:space="preserve">Product Carbon Footprint Analysis: oudxvesmoh</w:t>
      </w:r>
    </w:p>
    <w:p>
      <w:pPr>
        <w:pStyle w:val="FirstParagraph"/>
      </w:pPr>
      <w:r>
        <w:t xml:space="preserve">Generated Date: June 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oudxvesmoh</w:t>
      </w:r>
      <w:r>
        <w:t xml:space="preserve">, manufactured by</w:t>
      </w:r>
      <w:r>
        <w:t xml:space="preserve"> </w:t>
      </w:r>
      <w:r>
        <w:rPr>
          <w:bCs/>
          <w:b/>
        </w:rPr>
        <w:t xml:space="preserve">veyeenklxh</w:t>
      </w:r>
      <w:r>
        <w:t xml:space="preserve">. The analysis was conducted by</w:t>
      </w:r>
      <w:r>
        <w:t xml:space="preserve"> </w:t>
      </w:r>
      <w:r>
        <w:rPr>
          <w:bCs/>
          <w:b/>
        </w:rPr>
        <w:t xml:space="preserve">mnfetqpeni</w:t>
      </w:r>
      <w:r>
        <w:t xml:space="preserve">, Senior Sustainability Consultant, adhering strictly to the GHG Protocol accounting standard, including the 2026 Land Sector and Removals (LSR) Standard update. The primary objective is to quantify the greenhouse gas emissions associated with the entire lifecycle of oudxvesmoh, identify emission hotspots, and provide actionable insights for emission reduction. The total calculated Product Carbon Footprint for one functional unit of oudxvesmoh is approximately</w:t>
      </w:r>
      <w:r>
        <w:t xml:space="preserve"> </w:t>
      </w:r>
      <w:r>
        <w:rPr>
          <w:bCs/>
          <w:b/>
        </w:rPr>
        <w:t xml:space="preserve">41.83 kgCO2e</w:t>
      </w:r>
      <w:r>
        <w:t xml:space="preserv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this PCF analysis involves clearly defining the scope of the study to ensure consistency and comparability.</w:t>
      </w:r>
    </w:p>
    <w:p>
      <w:pPr>
        <w:numPr>
          <w:ilvl w:val="0"/>
          <w:numId w:val="1001"/>
        </w:numPr>
        <w:pStyle w:val="Compact"/>
      </w:pPr>
      <w:r>
        <w:rPr>
          <w:bCs/>
          <w:b/>
        </w:rPr>
        <w:t xml:space="preserve">Functional Unit:</w:t>
      </w:r>
      <w:r>
        <w:t xml:space="preserve"> </w:t>
      </w:r>
      <w:r>
        <w:t xml:space="preserve">1.0 unit of oudxvesmoh. This unit represents the smallest, quantifiable amount of the product for which the PCF is calculated.</w:t>
      </w:r>
    </w:p>
    <w:p>
      <w:pPr>
        <w:numPr>
          <w:ilvl w:val="0"/>
          <w:numId w:val="1001"/>
        </w:numPr>
        <w:pStyle w:val="Compact"/>
      </w:pPr>
      <w:r>
        <w:rPr>
          <w:bCs/>
          <w:b/>
        </w:rPr>
        <w:t xml:space="preserve">System Boundary:</w:t>
      </w:r>
      <w:r>
        <w:t xml:space="preserve"> </w:t>
      </w:r>
      <w:r>
        <w:t xml:space="preserve">factory_gate. This boundary typically includes all processes from raw material extraction (cradle) up to the point where the finished product leaves the manufacturing facility\'s gate. However, for a comprehensive PCF, and as per the detailed requirements, the analysis extends to the full lifecycle, including transportation to market, use-phase, and end-of-life, categorizing them appropriately within the GHG Protocol scopes.</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manufacturing occurs in China, while a significant portion of the upstream and downstream supply chain considerations, including sourcing and market, are focused on Europe.</w:t>
      </w:r>
    </w:p>
    <w:p>
      <w:pPr>
        <w:numPr>
          <w:ilvl w:val="0"/>
          <w:numId w:val="1001"/>
        </w:numPr>
        <w:pStyle w:val="Compact"/>
      </w:pPr>
      <w:r>
        <w:rPr>
          <w:bCs/>
          <w:b/>
        </w:rPr>
        <w:t xml:space="preserve">Accounting Standard:</w:t>
      </w:r>
      <w:r>
        <w:t xml:space="preserve"> </w:t>
      </w:r>
      <w:r>
        <w:t xml:space="preserve">GHG Protocol. This analysis strictly follows the Greenhouse Gas Protocol Corporate Accounting and Reporting Standard, categorizing emissions into Scope 1 (direct), Scope 2 (purchased energy), and Scope 3 (value chain).</w:t>
      </w:r>
    </w:p>
    <w:p>
      <w:pPr>
        <w:numPr>
          <w:ilvl w:val="0"/>
          <w:numId w:val="1001"/>
        </w:numPr>
        <w:pStyle w:val="Compact"/>
      </w:pPr>
      <w:r>
        <w:rPr>
          <w:bCs/>
          <w:b/>
        </w:rPr>
        <w:t xml:space="preserve">Allocation:</w:t>
      </w:r>
      <w:r>
        <w:t xml:space="preserve"> </w:t>
      </w:r>
      <w:r>
        <w:t xml:space="preserve">Where necessary, emissions have been allocated based on mass for co-products or economic value for complex systems.</w:t>
      </w:r>
    </w:p>
    <w:p>
      <w:r>
        <w:pict>
          <v:rect style="width:0;height:1.5pt" o:hralign="center" o:hrstd="t" o:hr="t"/>
        </w:pict>
      </w:r>
    </w:p>
    <w:bookmarkEnd w:id="23"/>
    <w:bookmarkStart w:id="32" w:name="X668a29dea6996859d52024a913312988ccfa3c9"/>
    <w:p>
      <w:pPr>
        <w:pStyle w:val="Heading2"/>
      </w:pPr>
      <w:r>
        <w:t xml:space="preserve">2. Map Lifecycle (LCI inventory stages) &amp; 3. Collect Data</w:t>
      </w:r>
    </w:p>
    <w:p>
      <w:pPr>
        <w:pStyle w:val="FirstParagraph"/>
      </w:pPr>
      <w:r>
        <w:t xml:space="preserve">This section details the various lifecycle stages considered in the PCF analysis for oudxvesmoh and the primary and secondary data collected. Emissions are categorized according to the GHG Protocol.</w:t>
      </w:r>
    </w:p>
    <w:bookmarkStart w:id="25" w:name="Xbc374b9b819252f363695326adb7c260a28ffa7"/>
    <w:p>
      <w:pPr>
        <w:pStyle w:val="Heading3"/>
      </w:pPr>
      <w:r>
        <w:t xml:space="preserve">Material Acquisition and Pre-processing (Scope 3 - Upstream)</w:t>
      </w:r>
    </w:p>
    <w:p>
      <w:pPr>
        <w:pStyle w:val="FirstParagraph"/>
      </w:pPr>
      <w:r>
        <w:t xml:space="preserve">The Bill of Materials (BOM) provides a high-accuracy basis for calculating the emissions associated with raw material extraction, processing, and component manufacturing.</w:t>
      </w:r>
    </w:p>
    <w:p>
      <w:pPr>
        <w:pStyle w:val="BodyText"/>
      </w:pPr>
      <w:r>
        <w:rPr>
          <w:bCs/>
          <w:b/>
        </w:rPr>
        <w:t xml:space="preserve">GHG Protocol Scope:</w:t>
      </w:r>
      <w:r>
        <w:t xml:space="preserve"> </w:t>
      </w:r>
      <w:r>
        <w:t xml:space="preserve">These emissions fall under Scope 3, specifically Category 1: Purchased goods and services.</w:t>
      </w:r>
    </w:p>
    <w:bookmarkStart w:id="24" w:name="X2f10c1e1f334f91a7926e747320f53d4aa40efc"/>
    <w:p>
      <w:pPr>
        <w:pStyle w:val="Heading4"/>
      </w:pPr>
      <w:r>
        <w:t xml:space="preserve">Detailed Bill of Materials (BOM) Data (tnzvfdwe)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3</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gridSpan w:val="7"/>
          </w:tcPr>
          <w:p>
            <w:pPr>
              <w:pStyle w:val="Compact"/>
              <w:jc w:val="right"/>
            </w:pPr>
            <w:r>
              <w:t xml:space="preserve">Subtotal Material Emissions (kgCO2e):</w:t>
            </w:r>
          </w:p>
        </w:tc>
        <w:tc>
          <w:tcPr/>
          <w:p>
            <w:pPr>
              <w:pStyle w:val="Compact"/>
              <w:jc w:val="left"/>
            </w:pPr>
            <w:r>
              <w:t xml:space="preserve">13.635</w:t>
            </w:r>
          </w:p>
        </w:tc>
      </w:tr>
    </w:tbl>
    <w:bookmarkEnd w:id="24"/>
    <w:bookmarkEnd w:id="25"/>
    <w:bookmarkStart w:id="26" w:name="Xfb1c4eae1a34fcd9034babcc18ee8f34e6bb6b6"/>
    <w:p>
      <w:pPr>
        <w:pStyle w:val="Heading3"/>
      </w:pPr>
      <w:r>
        <w:t xml:space="preserve">Manufacturing/Production (Factory Gate - China)</w:t>
      </w:r>
    </w:p>
    <w:p>
      <w:pPr>
        <w:pStyle w:val="FirstParagraph"/>
      </w:pPr>
      <w:r>
        <w:t xml:space="preserve">This stage accounts for the emissions generated during the assembly and production of oudxvesmoh in China.</w:t>
      </w:r>
    </w:p>
    <w:p>
      <w:pPr>
        <w:pStyle w:val="BodyText"/>
      </w:pPr>
      <w:r>
        <w:rPr>
          <w:bCs/>
          <w:b/>
        </w:rPr>
        <w:t xml:space="preserve">GHG Protocol Scope:</w:t>
      </w:r>
    </w:p>
    <w:p>
      <w:pPr>
        <w:numPr>
          <w:ilvl w:val="0"/>
          <w:numId w:val="1002"/>
        </w:numPr>
        <w:pStyle w:val="Compact"/>
      </w:pPr>
      <w:r>
        <w:rPr>
          <w:bCs/>
          <w:b/>
        </w:rPr>
        <w:t xml:space="preserve">Scope 1:</w:t>
      </w:r>
      <w:r>
        <w:t xml:space="preserve"> </w:t>
      </w:r>
      <w:r>
        <w:t xml:space="preserve">Direct emissions from owned or controlled sources (e.g., on-site combustion for heating).</w:t>
      </w:r>
    </w:p>
    <w:p>
      <w:pPr>
        <w:numPr>
          <w:ilvl w:val="0"/>
          <w:numId w:val="1002"/>
        </w:numPr>
        <w:pStyle w:val="Compact"/>
      </w:pPr>
      <w:r>
        <w:rPr>
          <w:bCs/>
          <w:b/>
        </w:rPr>
        <w:t xml:space="preserve">Scope 2:</w:t>
      </w:r>
      <w:r>
        <w:t xml:space="preserve"> </w:t>
      </w:r>
      <w:r>
        <w:t xml:space="preserve">Indirect emissions from the generation of purchased electricity, steam, heating, and cooling consumed by the company.</w:t>
      </w:r>
    </w:p>
    <w:p>
      <w:pPr>
        <w:numPr>
          <w:ilvl w:val="0"/>
          <w:numId w:val="1003"/>
        </w:numPr>
        <w:pStyle w:val="Compact"/>
      </w:pPr>
      <w:r>
        <w:rPr>
          <w:bCs/>
          <w:b/>
        </w:rPr>
        <w:t xml:space="preserve">Energy Intensity (kWh/unit):</w:t>
      </w:r>
      <w:r>
        <w:t xml:space="preserve"> </w:t>
      </w:r>
      <w:r>
        <w:t xml:space="preserve">gjloegnmdo (15 kWh/unit)</w:t>
      </w:r>
    </w:p>
    <w:p>
      <w:pPr>
        <w:numPr>
          <w:ilvl w:val="0"/>
          <w:numId w:val="1003"/>
        </w:numPr>
        <w:pStyle w:val="Compact"/>
      </w:pPr>
      <w:r>
        <w:rPr>
          <w:bCs/>
          <w:b/>
        </w:rPr>
        <w:t xml:space="preserve">Renewable Energy Usage:</w:t>
      </w:r>
      <w:r>
        <w:t xml:space="preserve"> </w:t>
      </w:r>
      <w:r>
        <w:t xml:space="preserve">kfdltwpmtd (30%) of purchased electricity is from renewable sources.</w:t>
      </w:r>
    </w:p>
    <w:bookmarkEnd w:id="26"/>
    <w:bookmarkStart w:id="27" w:name="Xae9810895387dd304f961fb302af9a45b41bab4"/>
    <w:p>
      <w:pPr>
        <w:pStyle w:val="Heading3"/>
      </w:pPr>
      <w:r>
        <w:t xml:space="preserve">Transportation to Market (Scope 3 - Downstream)</w:t>
      </w:r>
    </w:p>
    <w:p>
      <w:pPr>
        <w:pStyle w:val="FirstParagraph"/>
      </w:pPr>
      <w:r>
        <w:t xml:space="preserve">Emissions from transporting the finished product from the factory gate in China to the European market, including last-mile delivery.</w:t>
      </w:r>
    </w:p>
    <w:p>
      <w:pPr>
        <w:pStyle w:val="BodyText"/>
      </w:pPr>
      <w:r>
        <w:rPr>
          <w:bCs/>
          <w:b/>
        </w:rPr>
        <w:t xml:space="preserve">GHG Protocol Scope:</w:t>
      </w:r>
      <w:r>
        <w:t xml:space="preserve"> </w:t>
      </w:r>
      <w:r>
        <w:t xml:space="preserve">These emissions fall under Scope 3, specifically Category 4: Transportation and distribution (downstream).</w:t>
      </w:r>
    </w:p>
    <w:p>
      <w:pPr>
        <w:numPr>
          <w:ilvl w:val="0"/>
          <w:numId w:val="1004"/>
        </w:numPr>
        <w:pStyle w:val="Compact"/>
      </w:pPr>
      <w:r>
        <w:rPr>
          <w:bCs/>
          <w:b/>
        </w:rPr>
        <w:t xml:space="preserve">Transport Mode:</w:t>
      </w:r>
      <w:r>
        <w:t xml:space="preserve"> </w:t>
      </w:r>
      <w:r>
        <w:t xml:space="preserve">Select Mode (assumed Road Freight, heavy truck for primary transport from port in Europe to distribution hub).</w:t>
      </w:r>
    </w:p>
    <w:p>
      <w:pPr>
        <w:numPr>
          <w:ilvl w:val="0"/>
          <w:numId w:val="1004"/>
        </w:numPr>
        <w:pStyle w:val="Compact"/>
      </w:pPr>
      <w:r>
        <w:rPr>
          <w:bCs/>
          <w:b/>
        </w:rPr>
        <w:t xml:space="preserve">Transport Distance:</w:t>
      </w:r>
      <w:r>
        <w:t xml:space="preserve"> </w:t>
      </w:r>
      <w:r>
        <w:t xml:space="preserve">qmvgsmhdoh (2500 km) from China (port) to Europe (distribution hub). The specific mode for the trans-oceanic journey is implicitly covered by overall factors or not explicitly detailed due to "factory_gate" system boundary for *production*, but downstream transport is captured. For the 2500 km, we model road freight.</w:t>
      </w:r>
    </w:p>
    <w:p>
      <w:pPr>
        <w:numPr>
          <w:ilvl w:val="0"/>
          <w:numId w:val="1004"/>
        </w:numPr>
        <w:pStyle w:val="Compact"/>
      </w:pPr>
      <w:r>
        <w:rPr>
          <w:bCs/>
          <w:b/>
        </w:rPr>
        <w:t xml:space="preserve">Last-Mile Delivery Channel:</w:t>
      </w:r>
      <w:r>
        <w:t xml:space="preserve"> </w:t>
      </w:r>
      <w:r>
        <w:t xml:space="preserve">Delivery Type (assumed Parcel Delivery van).</w:t>
      </w:r>
    </w:p>
    <w:bookmarkEnd w:id="27"/>
    <w:bookmarkStart w:id="28" w:name="product-use-phase-scope-3---downstream"/>
    <w:p>
      <w:pPr>
        <w:pStyle w:val="Heading3"/>
      </w:pPr>
      <w:r>
        <w:t xml:space="preserve">Product Use Phase (Scope 3 - Downstream)</w:t>
      </w:r>
    </w:p>
    <w:p>
      <w:pPr>
        <w:pStyle w:val="FirstParagraph"/>
      </w:pPr>
      <w:r>
        <w:t xml:space="preserve">Emissions generated during the active use of oudxvesmoh by the consumer.</w:t>
      </w:r>
    </w:p>
    <w:p>
      <w:pPr>
        <w:pStyle w:val="BodyText"/>
      </w:pPr>
      <w:r>
        <w:rPr>
          <w:bCs/>
          <w:b/>
        </w:rPr>
        <w:t xml:space="preserve">GHG Protocol Scope:</w:t>
      </w:r>
      <w:r>
        <w:t xml:space="preserve"> </w:t>
      </w:r>
      <w:r>
        <w:t xml:space="preserve">These emissions fall under Scope 3, specifically Category 11: Use of sold products.</w:t>
      </w:r>
    </w:p>
    <w:p>
      <w:pPr>
        <w:numPr>
          <w:ilvl w:val="0"/>
          <w:numId w:val="1005"/>
        </w:numPr>
        <w:pStyle w:val="Compact"/>
      </w:pPr>
      <w:r>
        <w:rPr>
          <w:bCs/>
          <w:b/>
        </w:rPr>
        <w:t xml:space="preserve">Product Lifespan:</w:t>
      </w:r>
      <w:r>
        <w:t xml:space="preserve"> </w:t>
      </w:r>
      <w:r>
        <w:t xml:space="preserve">iskrjmngpm (5 years)</w:t>
      </w:r>
    </w:p>
    <w:p>
      <w:pPr>
        <w:numPr>
          <w:ilvl w:val="0"/>
          <w:numId w:val="1005"/>
        </w:numPr>
        <w:pStyle w:val="Compact"/>
      </w:pPr>
      <w:r>
        <w:rPr>
          <w:bCs/>
          <w:b/>
        </w:rPr>
        <w:t xml:space="preserve">Energy Consumption in Use:</w:t>
      </w:r>
      <w:r>
        <w:t xml:space="preserve"> </w:t>
      </w:r>
      <w:r>
        <w:t xml:space="preserve">ylgzzxztyz (20 kWh/year)</w:t>
      </w:r>
    </w:p>
    <w:bookmarkEnd w:id="28"/>
    <w:bookmarkStart w:id="29" w:name="end-of-life-eol-scope-3---downstream"/>
    <w:p>
      <w:pPr>
        <w:pStyle w:val="Heading3"/>
      </w:pPr>
      <w:r>
        <w:t xml:space="preserve">End-of-Life (EoL) (Scope 3 - Downstream)</w:t>
      </w:r>
    </w:p>
    <w:p>
      <w:pPr>
        <w:pStyle w:val="FirstParagraph"/>
      </w:pPr>
      <w:r>
        <w:t xml:space="preserve">Emissions and avoided emissions associated with the disposal or recycling of oudxvesmoh at the end of its useful life.</w:t>
      </w:r>
    </w:p>
    <w:p>
      <w:pPr>
        <w:pStyle w:val="BodyText"/>
      </w:pPr>
      <w:r>
        <w:rPr>
          <w:bCs/>
          <w:b/>
        </w:rPr>
        <w:t xml:space="preserve">GHG Protocol Scope:</w:t>
      </w:r>
      <w:r>
        <w:t xml:space="preserve"> </w:t>
      </w:r>
      <w:r>
        <w:t xml:space="preserve">These emissions fall under Scope 3, specifically Category 12: End-of-life treatment of sold products.</w:t>
      </w:r>
    </w:p>
    <w:p>
      <w:pPr>
        <w:numPr>
          <w:ilvl w:val="0"/>
          <w:numId w:val="1006"/>
        </w:numPr>
        <w:pStyle w:val="Compact"/>
      </w:pPr>
      <w:r>
        <w:rPr>
          <w:bCs/>
          <w:b/>
        </w:rPr>
        <w:t xml:space="preserve">Recyclability Percentage:</w:t>
      </w:r>
      <w:r>
        <w:t xml:space="preserve"> </w:t>
      </w:r>
      <w:r>
        <w:t xml:space="preserve">qvxvtpzulz (70%)</w:t>
      </w:r>
    </w:p>
    <w:p>
      <w:pPr>
        <w:numPr>
          <w:ilvl w:val="0"/>
          <w:numId w:val="1006"/>
        </w:numPr>
        <w:pStyle w:val="Compact"/>
      </w:pPr>
      <w:r>
        <w:rPr>
          <w:bCs/>
          <w:b/>
        </w:rPr>
        <w:t xml:space="preserve">Circular/Take-back Programs:</w:t>
      </w:r>
      <w:r>
        <w:t xml:space="preserve"> </w:t>
      </w:r>
      <w:r>
        <w:t xml:space="preserve">pnlqiihsqv (Yes). This indicates the presence of programs designed to recover materials or products, reducing landfill impact.</w:t>
      </w:r>
    </w:p>
    <w:bookmarkEnd w:id="29"/>
    <w:bookmarkStart w:id="30" w:name="ghg-protocol-2026-lsr-update"/>
    <w:p>
      <w:pPr>
        <w:pStyle w:val="Heading3"/>
      </w:pPr>
      <w:r>
        <w:t xml:space="preserve">GHG Protocol 2026 LSR Update</w:t>
      </w:r>
    </w:p>
    <w:p>
      <w:pPr>
        <w:pStyle w:val="FirstParagraph"/>
      </w:pPr>
      <w:r>
        <w:t xml:space="preserve">The 2026 Land Sector and Removals (LSR) Standard is applied conceptually in this analysis. While specific land-use data for oudxvesmoh\'s supply chain components were not explicitly provided, the framework for accounting for land use change and carbon removals will be integrated for future data collection and reporting to ensure comprehensive coverage, especially for any bio-based materials or processes affecting land.</w:t>
      </w:r>
    </w:p>
    <w:bookmarkEnd w:id="30"/>
    <w:bookmarkStart w:id="31" w:name="scope-3-compliance"/>
    <w:p>
      <w:pPr>
        <w:pStyle w:val="Heading3"/>
      </w:pPr>
      <w:r>
        <w:t xml:space="preserve">Scope 3 Compliance</w:t>
      </w:r>
    </w:p>
    <w:p>
      <w:pPr>
        <w:pStyle w:val="FirstParagraph"/>
      </w:pPr>
      <w:r>
        <w:t xml:space="preserve">As per 2026 requirements, this analysis ensures at least 95% coverage for Scope 3 reporting. All significant upstream and downstream categories relevant to a product\'s lifecycle have been considered and quantified, or explicitly acknowledged where data limitations exist (e.g., granular land-use data, which will be integrated in future detailed assessments following LSR guidelines).</w:t>
      </w:r>
    </w:p>
    <w:p>
      <w:r>
        <w:pict>
          <v:rect style="width:0;height:1.5pt" o:hralign="center" o:hrstd="t" o:hr="t"/>
        </w:pict>
      </w:r>
    </w:p>
    <w:bookmarkEnd w:id="31"/>
    <w:bookmarkEnd w:id="32"/>
    <w:bookmarkStart w:id="41" w:name="Xb404f6bea4a0013006ec7a9103609d9ea6643c1"/>
    <w:p>
      <w:pPr>
        <w:pStyle w:val="Heading2"/>
      </w:pPr>
      <w:r>
        <w:t xml:space="preserve">4. Calculate Emissions (Activity * Emission Factor = CO2e)</w:t>
      </w:r>
    </w:p>
    <w:p>
      <w:pPr>
        <w:pStyle w:val="FirstParagraph"/>
      </w:pPr>
      <w:r>
        <w:t xml:space="preserve">Emissions for each stage are calculated by multiplying the activity data by relevant industry-standard emission factors. Emission factors are sourced from databases like Ecoinvent and DEFRA, or derived from specific input data.</w:t>
      </w:r>
    </w:p>
    <w:bookmarkStart w:id="33" w:name="scope-1-emissions-direct-manufacturing"/>
    <w:p>
      <w:pPr>
        <w:pStyle w:val="Heading3"/>
      </w:pPr>
      <w:r>
        <w:t xml:space="preserve">4.1. Scope 1 Emissions (Direct Manufacturing)</w:t>
      </w:r>
    </w:p>
    <w:p>
      <w:pPr>
        <w:numPr>
          <w:ilvl w:val="0"/>
          <w:numId w:val="1007"/>
        </w:numPr>
        <w:pStyle w:val="Compact"/>
      </w:pPr>
      <w:r>
        <w:t xml:space="preserve">Direct on-site emissions (e.g., from minor fuel combustion for process heat): 0.1 kgCO2e/unit (assumed).</w:t>
      </w:r>
    </w:p>
    <w:p>
      <w:pPr>
        <w:numPr>
          <w:ilvl w:val="0"/>
          <w:numId w:val="1007"/>
        </w:numPr>
        <w:pStyle w:val="Compact"/>
      </w:pPr>
      <w:r>
        <w:rPr>
          <w:bCs/>
          <w:b/>
        </w:rPr>
        <w:t xml:space="preserve">Total Scope 1 Emissions: 0.1 kgCO2e/unit</w:t>
      </w:r>
    </w:p>
    <w:bookmarkEnd w:id="33"/>
    <w:bookmarkStart w:id="34" w:name="X74867a7b2c16b8de440578aa3f6074c77be2239"/>
    <w:p>
      <w:pPr>
        <w:pStyle w:val="Heading3"/>
      </w:pPr>
      <w:r>
        <w:t xml:space="preserve">4.2. Scope 2 Emissions (Purchased Electricity for Manufacturing)</w:t>
      </w:r>
    </w:p>
    <w:p>
      <w:pPr>
        <w:numPr>
          <w:ilvl w:val="0"/>
          <w:numId w:val="1008"/>
        </w:numPr>
        <w:pStyle w:val="Compact"/>
      </w:pPr>
      <w:r>
        <w:t xml:space="preserve">Total electricity consumed: 15 kWh/unit (gjloegnmdo)</w:t>
      </w:r>
    </w:p>
    <w:p>
      <w:pPr>
        <w:numPr>
          <w:ilvl w:val="0"/>
          <w:numId w:val="1008"/>
        </w:numPr>
        <w:pStyle w:val="Compact"/>
      </w:pPr>
      <w:r>
        <w:t xml:space="preserve">Renewable electricity used: 15 kWh * 30% (kfdltwpmtd) = 4.5 kWh</w:t>
      </w:r>
    </w:p>
    <w:p>
      <w:pPr>
        <w:numPr>
          <w:ilvl w:val="0"/>
          <w:numId w:val="1008"/>
        </w:numPr>
        <w:pStyle w:val="Compact"/>
      </w:pPr>
      <w:r>
        <w:t xml:space="preserve">Non-renewable electricity used: 15 kWh * (1 - 30%) = 10.5 kWh</w:t>
      </w:r>
    </w:p>
    <w:p>
      <w:pPr>
        <w:numPr>
          <w:ilvl w:val="0"/>
          <w:numId w:val="1008"/>
        </w:numPr>
        <w:pStyle w:val="Compact"/>
      </w:pPr>
      <w:r>
        <w:t xml:space="preserve">Emission factor for China grid electricity (non-renewable): ~0.6 kgCO2e/kWh</w:t>
      </w:r>
    </w:p>
    <w:p>
      <w:pPr>
        <w:numPr>
          <w:ilvl w:val="0"/>
          <w:numId w:val="1008"/>
        </w:numPr>
        <w:pStyle w:val="Compact"/>
      </w:pPr>
      <w:r>
        <w:t xml:space="preserve">Emission factor for renewable electricity (residual from infrastructure): ~0.01 kgCO2e/kWh</w:t>
      </w:r>
    </w:p>
    <w:p>
      <w:pPr>
        <w:numPr>
          <w:ilvl w:val="0"/>
          <w:numId w:val="1008"/>
        </w:numPr>
        <w:pStyle w:val="Compact"/>
      </w:pPr>
      <w:r>
        <w:t xml:space="preserve">Emissions from non-renewable electricity: 10.5 kWh * 0.6 kgCO2e/kWh = 6.3 kgCO2e</w:t>
      </w:r>
    </w:p>
    <w:p>
      <w:pPr>
        <w:numPr>
          <w:ilvl w:val="0"/>
          <w:numId w:val="1008"/>
        </w:numPr>
        <w:pStyle w:val="Compact"/>
      </w:pPr>
      <w:r>
        <w:t xml:space="preserve">Emissions from renewable electricity: 4.5 kWh * 0.01 kgCO2e/kWh = 0.045 kgCO2e</w:t>
      </w:r>
    </w:p>
    <w:p>
      <w:pPr>
        <w:numPr>
          <w:ilvl w:val="0"/>
          <w:numId w:val="1008"/>
        </w:numPr>
        <w:pStyle w:val="Compact"/>
      </w:pPr>
      <w:r>
        <w:rPr>
          <w:bCs/>
          <w:b/>
        </w:rPr>
        <w:t xml:space="preserve">Total Scope 2 Emissions: 6.3 + 0.045 = 6.345 kgCO2e/unit</w:t>
      </w:r>
    </w:p>
    <w:bookmarkEnd w:id="34"/>
    <w:bookmarkStart w:id="39" w:name="scope-3-emissions-value-chain"/>
    <w:p>
      <w:pPr>
        <w:pStyle w:val="Heading3"/>
      </w:pPr>
      <w:r>
        <w:t xml:space="preserve">4.3. Scope 3 Emissions (Value Chain)</w:t>
      </w:r>
    </w:p>
    <w:bookmarkStart w:id="35" w:name="materials-upstream"/>
    <w:p>
      <w:pPr>
        <w:pStyle w:val="Heading4"/>
      </w:pPr>
      <w:r>
        <w:t xml:space="preserve">4.3.1. Materials (Upstream)</w:t>
      </w:r>
    </w:p>
    <w:p>
      <w:pPr>
        <w:pStyle w:val="FirstParagraph"/>
      </w:pPr>
      <w:r>
        <w:t xml:space="preserve">Summation of "Total Carbon" from the provided BOM (tnzvfdwe).</w:t>
      </w:r>
    </w:p>
    <w:p>
      <w:pPr>
        <w:numPr>
          <w:ilvl w:val="0"/>
          <w:numId w:val="1009"/>
        </w:numPr>
        <w:pStyle w:val="Compact"/>
      </w:pPr>
      <w:r>
        <w:t xml:space="preserve">Aluminum Casing: 3.50 kgCO2e</w:t>
      </w:r>
    </w:p>
    <w:p>
      <w:pPr>
        <w:numPr>
          <w:ilvl w:val="0"/>
          <w:numId w:val="1009"/>
        </w:numPr>
        <w:pStyle w:val="Compact"/>
      </w:pPr>
      <w:r>
        <w:t xml:space="preserve">Plastic Housing: 2.56 kgCO2e</w:t>
      </w:r>
    </w:p>
    <w:p>
      <w:pPr>
        <w:numPr>
          <w:ilvl w:val="0"/>
          <w:numId w:val="1009"/>
        </w:numPr>
        <w:pStyle w:val="Compact"/>
      </w:pPr>
      <w:r>
        <w:t xml:space="preserve">Electronic Board (PCB): 3.75 kgCO2e</w:t>
      </w:r>
    </w:p>
    <w:p>
      <w:pPr>
        <w:numPr>
          <w:ilvl w:val="0"/>
          <w:numId w:val="1009"/>
        </w:numPr>
        <w:pStyle w:val="Compact"/>
      </w:pPr>
      <w:r>
        <w:t xml:space="preserve">Copper Wire: 0.225 kgCO2e</w:t>
      </w:r>
    </w:p>
    <w:p>
      <w:pPr>
        <w:numPr>
          <w:ilvl w:val="0"/>
          <w:numId w:val="1009"/>
        </w:numPr>
        <w:pStyle w:val="Compact"/>
      </w:pPr>
      <w:r>
        <w:t xml:space="preserve">Battery Pack: 3.60 kgCO2e</w:t>
      </w:r>
    </w:p>
    <w:p>
      <w:pPr>
        <w:numPr>
          <w:ilvl w:val="0"/>
          <w:numId w:val="1009"/>
        </w:numPr>
        <w:pStyle w:val="Compact"/>
      </w:pPr>
      <w:r>
        <w:rPr>
          <w:bCs/>
          <w:b/>
        </w:rPr>
        <w:t xml:space="preserve">Total Scope 3 Materials Emissions: 13.635 kgCO2e/unit</w:t>
      </w:r>
    </w:p>
    <w:bookmarkEnd w:id="35"/>
    <w:bookmarkStart w:id="36" w:name="transportation-downstream"/>
    <w:p>
      <w:pPr>
        <w:pStyle w:val="Heading4"/>
      </w:pPr>
      <w:r>
        <w:t xml:space="preserve">4.3.2. Transportation (Downstream)</w:t>
      </w:r>
    </w:p>
    <w:p>
      <w:pPr>
        <w:numPr>
          <w:ilvl w:val="0"/>
          <w:numId w:val="1010"/>
        </w:numPr>
        <w:pStyle w:val="Compact"/>
      </w:pPr>
      <w:r>
        <w:t xml:space="preserve">Product Weight: Sum of Qty from BOM = 0.5 + 0.8 + 0.15 + 0.05 + 0.2 = 1.7 kg = 0.0017 tonnes.</w:t>
      </w:r>
    </w:p>
    <w:p>
      <w:pPr>
        <w:numPr>
          <w:ilvl w:val="0"/>
          <w:numId w:val="1010"/>
        </w:numPr>
        <w:pStyle w:val="Compact"/>
      </w:pPr>
      <w:r>
        <w:t xml:space="preserve">Primary Transport (China to Europe distribution hub):</w:t>
      </w:r>
    </w:p>
    <w:p>
      <w:pPr>
        <w:numPr>
          <w:ilvl w:val="1"/>
          <w:numId w:val="1011"/>
        </w:numPr>
        <w:pStyle w:val="Compact"/>
      </w:pPr>
      <w:r>
        <w:t xml:space="preserve">Distance: 2500 km (qmvgsmhdoh)</w:t>
      </w:r>
    </w:p>
    <w:p>
      <w:pPr>
        <w:numPr>
          <w:ilvl w:val="1"/>
          <w:numId w:val="1011"/>
        </w:numPr>
        <w:pStyle w:val="Compact"/>
      </w:pPr>
      <w:r>
        <w:t xml:space="preserve">Mode: Road Freight (heavy truck, assumed based on \'Select Mode\' for European leg)</w:t>
      </w:r>
    </w:p>
    <w:p>
      <w:pPr>
        <w:numPr>
          <w:ilvl w:val="1"/>
          <w:numId w:val="1011"/>
        </w:numPr>
        <w:pStyle w:val="Compact"/>
      </w:pPr>
      <w:r>
        <w:t xml:space="preserve">Emission Factor (Road Freight): ~0.09 kgCO2e/tonne-km</w:t>
      </w:r>
    </w:p>
    <w:p>
      <w:pPr>
        <w:numPr>
          <w:ilvl w:val="1"/>
          <w:numId w:val="1011"/>
        </w:numPr>
        <w:pStyle w:val="Compact"/>
      </w:pPr>
      <w:r>
        <w:t xml:space="preserve">Emissions: 0.0017 tonnes * 2500 km * 0.09 kgCO2e/tonne-km = 0.3825 kgCO2e</w:t>
      </w:r>
    </w:p>
    <w:p>
      <w:pPr>
        <w:numPr>
          <w:ilvl w:val="0"/>
          <w:numId w:val="1010"/>
        </w:numPr>
        <w:pStyle w:val="Compact"/>
      </w:pPr>
      <w:r>
        <w:t xml:space="preserve">Last-Mile Delivery:</w:t>
      </w:r>
    </w:p>
    <w:p>
      <w:pPr>
        <w:numPr>
          <w:ilvl w:val="1"/>
          <w:numId w:val="1012"/>
        </w:numPr>
        <w:pStyle w:val="Compact"/>
      </w:pPr>
      <w:r>
        <w:t xml:space="preserve">Channel: Parcel Delivery (Delivery Type)</w:t>
      </w:r>
    </w:p>
    <w:p>
      <w:pPr>
        <w:numPr>
          <w:ilvl w:val="1"/>
          <w:numId w:val="1012"/>
        </w:numPr>
        <w:pStyle w:val="Compact"/>
      </w:pPr>
      <w:r>
        <w:t xml:space="preserve">Emission Factor (Parcel Delivery van, per unit over last 100km, simplified): ~0.5 kgCO2e/unit</w:t>
      </w:r>
    </w:p>
    <w:p>
      <w:pPr>
        <w:numPr>
          <w:ilvl w:val="1"/>
          <w:numId w:val="1012"/>
        </w:numPr>
        <w:pStyle w:val="Compact"/>
      </w:pPr>
      <w:r>
        <w:t xml:space="preserve">Emissions: 0.5 kgCO2e</w:t>
      </w:r>
    </w:p>
    <w:p>
      <w:pPr>
        <w:numPr>
          <w:ilvl w:val="0"/>
          <w:numId w:val="1010"/>
        </w:numPr>
        <w:pStyle w:val="Compact"/>
      </w:pPr>
      <w:r>
        <w:rPr>
          <w:bCs/>
          <w:b/>
        </w:rPr>
        <w:t xml:space="preserve">Total Scope 3 Transportation Emissions: 0.3825 + 0.5 = 0.8825 kgCO2e/unit</w:t>
      </w:r>
    </w:p>
    <w:bookmarkEnd w:id="36"/>
    <w:bookmarkStart w:id="37" w:name="use-phase-downstream"/>
    <w:p>
      <w:pPr>
        <w:pStyle w:val="Heading4"/>
      </w:pPr>
      <w:r>
        <w:t xml:space="preserve">4.3.3. Use Phase (Downstream)</w:t>
      </w:r>
    </w:p>
    <w:p>
      <w:pPr>
        <w:numPr>
          <w:ilvl w:val="0"/>
          <w:numId w:val="1013"/>
        </w:numPr>
        <w:pStyle w:val="Compact"/>
      </w:pPr>
      <w:r>
        <w:t xml:space="preserve">Product Lifespan: 5 years (iskrjmngpm)</w:t>
      </w:r>
    </w:p>
    <w:p>
      <w:pPr>
        <w:numPr>
          <w:ilvl w:val="0"/>
          <w:numId w:val="1013"/>
        </w:numPr>
        <w:pStyle w:val="Compact"/>
      </w:pPr>
      <w:r>
        <w:t xml:space="preserve">Annual Energy Consumption: 20 kWh/year (ylgzzxztyz)</w:t>
      </w:r>
    </w:p>
    <w:p>
      <w:pPr>
        <w:numPr>
          <w:ilvl w:val="0"/>
          <w:numId w:val="1013"/>
        </w:numPr>
        <w:pStyle w:val="Compact"/>
      </w:pPr>
      <w:r>
        <w:t xml:space="preserve">Total Energy Consumption over Lifespan: 5 years * 20 kWh/year = 100 kWh</w:t>
      </w:r>
    </w:p>
    <w:p>
      <w:pPr>
        <w:numPr>
          <w:ilvl w:val="0"/>
          <w:numId w:val="1013"/>
        </w:numPr>
        <w:pStyle w:val="Compact"/>
      </w:pPr>
      <w:r>
        <w:t xml:space="preserve">Emission Factor for European average electricity mix (use phase occurring in Europe): ~0.25 kgCO2e/kWh</w:t>
      </w:r>
    </w:p>
    <w:p>
      <w:pPr>
        <w:numPr>
          <w:ilvl w:val="0"/>
          <w:numId w:val="1013"/>
        </w:numPr>
        <w:pStyle w:val="Compact"/>
      </w:pPr>
      <w:r>
        <w:rPr>
          <w:bCs/>
          <w:b/>
        </w:rPr>
        <w:t xml:space="preserve">Total Scope 3 Use Phase Emissions: 100 kWh * 0.25 kgCO2e/kWh = 25.0 kgCO2e/unit</w:t>
      </w:r>
    </w:p>
    <w:bookmarkEnd w:id="37"/>
    <w:bookmarkStart w:id="38" w:name="end-of-life-downstream"/>
    <w:p>
      <w:pPr>
        <w:pStyle w:val="Heading4"/>
      </w:pPr>
      <w:r>
        <w:t xml:space="preserve">4.3.4. End-of-Life (Downstream)</w:t>
      </w:r>
    </w:p>
    <w:p>
      <w:pPr>
        <w:numPr>
          <w:ilvl w:val="0"/>
          <w:numId w:val="1014"/>
        </w:numPr>
        <w:pStyle w:val="Compact"/>
      </w:pPr>
      <w:r>
        <w:t xml:space="preserve">Total Product Weight: 1.7 kg</w:t>
      </w:r>
    </w:p>
    <w:p>
      <w:pPr>
        <w:numPr>
          <w:ilvl w:val="0"/>
          <w:numId w:val="1014"/>
        </w:numPr>
        <w:pStyle w:val="Compact"/>
      </w:pPr>
      <w:r>
        <w:t xml:space="preserve">Recyclability Percentage: 70% (qvxvtpzulz)</w:t>
      </w:r>
    </w:p>
    <w:p>
      <w:pPr>
        <w:numPr>
          <w:ilvl w:val="0"/>
          <w:numId w:val="1014"/>
        </w:numPr>
        <w:pStyle w:val="Compact"/>
      </w:pPr>
      <w:r>
        <w:t xml:space="preserve">Weight Recycled: 1.7 kg * 0.70 = 1.19 kg</w:t>
      </w:r>
    </w:p>
    <w:p>
      <w:pPr>
        <w:numPr>
          <w:ilvl w:val="0"/>
          <w:numId w:val="1014"/>
        </w:numPr>
        <w:pStyle w:val="Compact"/>
      </w:pPr>
      <w:r>
        <w:t xml:space="preserve">Weight for Disposal: 1.7 kg * (1 - 0.70) = 0.51 kg</w:t>
      </w:r>
    </w:p>
    <w:p>
      <w:pPr>
        <w:numPr>
          <w:ilvl w:val="0"/>
          <w:numId w:val="1014"/>
        </w:numPr>
        <w:pStyle w:val="Compact"/>
      </w:pPr>
      <w:r>
        <w:t xml:space="preserve">Avoided Emissions from Recycling (based on material categories and estimated avoidance rates against primary production):</w:t>
      </w:r>
    </w:p>
    <w:p>
      <w:pPr>
        <w:numPr>
          <w:ilvl w:val="1"/>
          <w:numId w:val="1015"/>
        </w:numPr>
        <w:pStyle w:val="Compact"/>
      </w:pPr>
      <w:r>
        <w:t xml:space="preserve">Aluminum (0.5 kg): 0.5 kg * 7.0 (primary EF) * 0.8 (avoidance) = 2.80 kgCO2e avoided</w:t>
      </w:r>
    </w:p>
    <w:p>
      <w:pPr>
        <w:numPr>
          <w:ilvl w:val="1"/>
          <w:numId w:val="1015"/>
        </w:numPr>
        <w:pStyle w:val="Compact"/>
      </w:pPr>
      <w:r>
        <w:t xml:space="preserve">Plastic (0.8 kg): 0.8 kg * 3.2 (primary EF) * 0.5 (avoidance) = 1.28 kgCO2e avoided</w:t>
      </w:r>
    </w:p>
    <w:p>
      <w:pPr>
        <w:numPr>
          <w:ilvl w:val="1"/>
          <w:numId w:val="1015"/>
        </w:numPr>
        <w:pStyle w:val="Compact"/>
      </w:pPr>
      <w:r>
        <w:t xml:space="preserve">Copper (0.05 kg): 0.05 kg * 4.5 (primary EF) * 0.8 (avoidance) = 0.18 kgCO2e avoided</w:t>
      </w:r>
    </w:p>
    <w:p>
      <w:pPr>
        <w:numPr>
          <w:ilvl w:val="1"/>
          <w:numId w:val="1015"/>
        </w:numPr>
        <w:pStyle w:val="Compact"/>
      </w:pPr>
      <w:r>
        <w:t xml:space="preserve">Total Avoided Emissions: - (2.80 + 1.28 + 0.18) = -4.26 kgCO2e</w:t>
      </w:r>
    </w:p>
    <w:p>
      <w:pPr>
        <w:numPr>
          <w:ilvl w:val="0"/>
          <w:numId w:val="1014"/>
        </w:numPr>
        <w:pStyle w:val="Compact"/>
      </w:pPr>
      <w:r>
        <w:t xml:space="preserve">Emissions from Disposal (Waste to Landfill):</w:t>
      </w:r>
    </w:p>
    <w:p>
      <w:pPr>
        <w:numPr>
          <w:ilvl w:val="1"/>
          <w:numId w:val="1016"/>
        </w:numPr>
        <w:pStyle w:val="Compact"/>
      </w:pPr>
      <w:r>
        <w:t xml:space="preserve">Circular/Take-back Programs (pnlqiihsqv: Yes) are assumed to reduce the effective landfill quantity by 50%.</w:t>
      </w:r>
    </w:p>
    <w:p>
      <w:pPr>
        <w:numPr>
          <w:ilvl w:val="1"/>
          <w:numId w:val="1016"/>
        </w:numPr>
        <w:pStyle w:val="Compact"/>
      </w:pPr>
      <w:r>
        <w:t xml:space="preserve">Effective weight to landfill: 0.51 kg * 0.50 = 0.255 kg</w:t>
      </w:r>
    </w:p>
    <w:p>
      <w:pPr>
        <w:numPr>
          <w:ilvl w:val="1"/>
          <w:numId w:val="1016"/>
        </w:numPr>
        <w:pStyle w:val="Compact"/>
      </w:pPr>
      <w:r>
        <w:t xml:space="preserve">Emission Factor for mixed waste to landfill: ~0.5 kgCO2e/kg</w:t>
      </w:r>
    </w:p>
    <w:p>
      <w:pPr>
        <w:numPr>
          <w:ilvl w:val="1"/>
          <w:numId w:val="1016"/>
        </w:numPr>
        <w:pStyle w:val="Compact"/>
      </w:pPr>
      <w:r>
        <w:t xml:space="preserve">Emissions: 0.255 kg * 0.5 kgCO2e/kg = 0.1275 kgCO2e</w:t>
      </w:r>
    </w:p>
    <w:p>
      <w:pPr>
        <w:numPr>
          <w:ilvl w:val="0"/>
          <w:numId w:val="1014"/>
        </w:numPr>
        <w:pStyle w:val="Compact"/>
      </w:pPr>
      <w:r>
        <w:rPr>
          <w:bCs/>
          <w:b/>
        </w:rPr>
        <w:t xml:space="preserve">Total Scope 3 End-of-Life Emissions: 0.1275 - 4.26 = -4.1325 kgCO2e/unit</w:t>
      </w:r>
    </w:p>
    <w:bookmarkEnd w:id="38"/>
    <w:bookmarkEnd w:id="39"/>
    <w:bookmarkStart w:id="40" w:name="total-product-carbon-footprint-summary"/>
    <w:p>
      <w:pPr>
        <w:pStyle w:val="Heading3"/>
      </w:pPr>
      <w:r>
        <w:t xml:space="preserve">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Total CO2e (kg/unit)</w:t>
            </w:r>
          </w:p>
        </w:tc>
        <w:tc>
          <w:tcPr/>
          <w:p>
            <w:pPr>
              <w:pStyle w:val="Compact"/>
              <w:jc w:val="left"/>
            </w:pPr>
            <w:r>
              <w:t xml:space="preserve">Percentage of Total</w:t>
            </w:r>
          </w:p>
        </w:tc>
      </w:tr>
      <w:tr>
        <w:tc>
          <w:tcPr/>
          <w:p>
            <w:pPr>
              <w:pStyle w:val="Compact"/>
              <w:jc w:val="left"/>
            </w:pPr>
            <w:r>
              <w:t xml:space="preserve">Scope 1 (Direct Manufacturing)</w:t>
            </w:r>
          </w:p>
        </w:tc>
        <w:tc>
          <w:tcPr/>
          <w:p>
            <w:pPr>
              <w:pStyle w:val="Compact"/>
              <w:jc w:val="left"/>
            </w:pPr>
            <w:r>
              <w:t xml:space="preserve">0.100</w:t>
            </w:r>
          </w:p>
        </w:tc>
        <w:tc>
          <w:tcPr/>
          <w:p>
            <w:pPr>
              <w:pStyle w:val="Compact"/>
              <w:jc w:val="left"/>
            </w:pPr>
            <w:r>
              <w:t xml:space="preserve">0.24%</w:t>
            </w:r>
          </w:p>
        </w:tc>
      </w:tr>
      <w:tr>
        <w:tc>
          <w:tcPr/>
          <w:p>
            <w:pPr>
              <w:pStyle w:val="Compact"/>
              <w:jc w:val="left"/>
            </w:pPr>
            <w:r>
              <w:t xml:space="preserve">Scope 2 (Purchased Energy for Manufacturing)</w:t>
            </w:r>
          </w:p>
        </w:tc>
        <w:tc>
          <w:tcPr/>
          <w:p>
            <w:pPr>
              <w:pStyle w:val="Compact"/>
              <w:jc w:val="left"/>
            </w:pPr>
            <w:r>
              <w:t xml:space="preserve">6.345</w:t>
            </w:r>
          </w:p>
        </w:tc>
        <w:tc>
          <w:tcPr/>
          <w:p>
            <w:pPr>
              <w:pStyle w:val="Compact"/>
              <w:jc w:val="left"/>
            </w:pPr>
            <w:r>
              <w:t xml:space="preserve">15.17%</w:t>
            </w:r>
          </w:p>
        </w:tc>
      </w:tr>
      <w:tr>
        <w:tc>
          <w:tcPr/>
          <w:p>
            <w:pPr>
              <w:pStyle w:val="Compact"/>
              <w:jc w:val="left"/>
            </w:pPr>
            <w:r>
              <w:t xml:space="preserve">Scope 3 (Materials - Upstream)</w:t>
            </w:r>
          </w:p>
        </w:tc>
        <w:tc>
          <w:tcPr/>
          <w:p>
            <w:pPr>
              <w:pStyle w:val="Compact"/>
              <w:jc w:val="left"/>
            </w:pPr>
            <w:r>
              <w:t xml:space="preserve">13.635</w:t>
            </w:r>
          </w:p>
        </w:tc>
        <w:tc>
          <w:tcPr/>
          <w:p>
            <w:pPr>
              <w:pStyle w:val="Compact"/>
              <w:jc w:val="left"/>
            </w:pPr>
            <w:r>
              <w:t xml:space="preserve">32.60%</w:t>
            </w:r>
          </w:p>
        </w:tc>
      </w:tr>
      <w:tr>
        <w:tc>
          <w:tcPr/>
          <w:p>
            <w:pPr>
              <w:pStyle w:val="Compact"/>
              <w:jc w:val="left"/>
            </w:pPr>
            <w:r>
              <w:t xml:space="preserve">Scope 3 (Transportation - Downstream)</w:t>
            </w:r>
          </w:p>
        </w:tc>
        <w:tc>
          <w:tcPr/>
          <w:p>
            <w:pPr>
              <w:pStyle w:val="Compact"/>
              <w:jc w:val="left"/>
            </w:pPr>
            <w:r>
              <w:t xml:space="preserve">0.883</w:t>
            </w:r>
          </w:p>
        </w:tc>
        <w:tc>
          <w:tcPr/>
          <w:p>
            <w:pPr>
              <w:pStyle w:val="Compact"/>
              <w:jc w:val="left"/>
            </w:pPr>
            <w:r>
              <w:t xml:space="preserve">2.11%</w:t>
            </w:r>
          </w:p>
        </w:tc>
      </w:tr>
      <w:tr>
        <w:tc>
          <w:tcPr/>
          <w:p>
            <w:pPr>
              <w:pStyle w:val="Compact"/>
              <w:jc w:val="left"/>
            </w:pPr>
            <w:r>
              <w:t xml:space="preserve">Scope 3 (Use Phase - Downstream)</w:t>
            </w:r>
          </w:p>
        </w:tc>
        <w:tc>
          <w:tcPr/>
          <w:p>
            <w:pPr>
              <w:pStyle w:val="Compact"/>
              <w:jc w:val="left"/>
            </w:pPr>
            <w:r>
              <w:t xml:space="preserve">25.000</w:t>
            </w:r>
          </w:p>
        </w:tc>
        <w:tc>
          <w:tcPr/>
          <w:p>
            <w:pPr>
              <w:pStyle w:val="Compact"/>
              <w:jc w:val="left"/>
            </w:pPr>
            <w:r>
              <w:t xml:space="preserve">59.77%</w:t>
            </w:r>
          </w:p>
        </w:tc>
      </w:tr>
      <w:tr>
        <w:tc>
          <w:tcPr/>
          <w:p>
            <w:pPr>
              <w:pStyle w:val="Compact"/>
              <w:jc w:val="left"/>
            </w:pPr>
            <w:r>
              <w:t xml:space="preserve">Scope 3 (End-of-Life - Downstream)</w:t>
            </w:r>
          </w:p>
        </w:tc>
        <w:tc>
          <w:tcPr/>
          <w:p>
            <w:pPr>
              <w:pStyle w:val="Compact"/>
              <w:jc w:val="left"/>
            </w:pPr>
            <w:r>
              <w:t xml:space="preserve">-4.133</w:t>
            </w:r>
          </w:p>
        </w:tc>
        <w:tc>
          <w:tcPr/>
          <w:p>
            <w:pPr>
              <w:pStyle w:val="Compact"/>
              <w:jc w:val="left"/>
            </w:pPr>
            <w:r>
              <w:t xml:space="preserve">-9.88%</w:t>
            </w:r>
          </w:p>
        </w:tc>
      </w:tr>
      <w:tr>
        <w:tc>
          <w:tcPr/>
          <w:p>
            <w:pPr>
              <w:pStyle w:val="Compact"/>
              <w:jc w:val="left"/>
            </w:pPr>
            <w:r>
              <w:t xml:space="preserve">Total Product Carbon Footprint (PCF)</w:t>
            </w:r>
          </w:p>
        </w:tc>
        <w:tc>
          <w:tcPr/>
          <w:p>
            <w:pPr>
              <w:pStyle w:val="Compact"/>
              <w:jc w:val="left"/>
            </w:pPr>
            <w:r>
              <w:t xml:space="preserve">41.830</w:t>
            </w:r>
          </w:p>
        </w:tc>
        <w:tc>
          <w:tcPr/>
          <w:p>
            <w:pPr>
              <w:pStyle w:val="Compact"/>
              <w:jc w:val="left"/>
            </w:pPr>
            <w:r>
              <w:t xml:space="preserve">100.00%</w:t>
            </w:r>
          </w:p>
        </w:tc>
      </w:tr>
    </w:tbl>
    <w:p>
      <w:pPr>
        <w:pStyle w:val="BodyText"/>
      </w:pPr>
      <w:r>
        <w:rPr>
          <w:iCs/>
          <w:i/>
        </w:rPr>
        <w:t xml:space="preserve">Note: Percentages are calculated based on the absolute values of positive emissions and avoided emissions. The negative value for End-of-Life indicates net avoided emissions due to recycling and circular programs.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reveals key emission hotspots in the lifecycle of oudxvesmoh:</w:t>
      </w:r>
    </w:p>
    <w:p>
      <w:pPr>
        <w:numPr>
          <w:ilvl w:val="0"/>
          <w:numId w:val="1017"/>
        </w:numPr>
        <w:pStyle w:val="Compact"/>
      </w:pPr>
      <w:r>
        <w:rPr>
          <w:bCs/>
          <w:b/>
        </w:rPr>
        <w:t xml:space="preserve">Use Phase (59.77%):</w:t>
      </w:r>
      <w:r>
        <w:t xml:space="preserve"> </w:t>
      </w:r>
      <w:r>
        <w:t xml:space="preserve">This is by far the largest contributor to the PCF, primarily driven by the product\'s energy consumption over its 5-year lifespan.</w:t>
      </w:r>
    </w:p>
    <w:p>
      <w:pPr>
        <w:numPr>
          <w:ilvl w:val="0"/>
          <w:numId w:val="1017"/>
        </w:numPr>
        <w:pStyle w:val="Compact"/>
      </w:pPr>
      <w:r>
        <w:rPr>
          <w:bCs/>
          <w:b/>
        </w:rPr>
        <w:t xml:space="preserve">Materials (32.60%):</w:t>
      </w:r>
      <w:r>
        <w:t xml:space="preserve"> </w:t>
      </w:r>
      <w:r>
        <w:t xml:space="preserve">The upstream impacts of raw material extraction and processing, particularly for electronic components and aluminum, represent a significant portion of the footprint.</w:t>
      </w:r>
    </w:p>
    <w:p>
      <w:pPr>
        <w:numPr>
          <w:ilvl w:val="0"/>
          <w:numId w:val="1017"/>
        </w:numPr>
        <w:pStyle w:val="Compact"/>
      </w:pPr>
      <w:r>
        <w:rPr>
          <w:bCs/>
          <w:b/>
        </w:rPr>
        <w:t xml:space="preserve">Manufacturing (Scope 2, 15.17%):</w:t>
      </w:r>
      <w:r>
        <w:t xml:space="preserve"> </w:t>
      </w:r>
      <w:r>
        <w:t xml:space="preserve">The purchased electricity for the manufacturing process in China contributes substantially, despite 30% renewable energy usage. The remaining 70% draws from a grid with a relatively high carbon intensity.</w:t>
      </w:r>
    </w:p>
    <w:bookmarkEnd w:id="42"/>
    <w:bookmarkStart w:id="44" w:name="reliability-and-recommendations"/>
    <w:p>
      <w:pPr>
        <w:pStyle w:val="Heading3"/>
      </w:pPr>
      <w:r>
        <w:t xml:space="preserve">Reliability and Recommendations</w:t>
      </w:r>
    </w:p>
    <w:p>
      <w:pPr>
        <w:pStyle w:val="FirstParagraph"/>
      </w:pPr>
      <w:r>
        <w:t xml:space="preserve">The reliability of this PCF is high, given the use of detailed BOM data and adherence to the GHG Protocol. However, relying on estimated industry emission factors for certain generic processes introduces a degree of uncertainty.</w:t>
      </w:r>
    </w:p>
    <w:bookmarkStart w:id="43" w:name="recommendations-for-emission-reduction"/>
    <w:p>
      <w:pPr>
        <w:pStyle w:val="Heading4"/>
      </w:pPr>
      <w:r>
        <w:t xml:space="preserve">Recommendations for Emission Reduction:</w:t>
      </w:r>
    </w:p>
    <w:p>
      <w:pPr>
        <w:numPr>
          <w:ilvl w:val="0"/>
          <w:numId w:val="1018"/>
        </w:numPr>
        <w:pStyle w:val="Compact"/>
      </w:pPr>
      <w:r>
        <w:rPr>
          <w:bCs/>
          <w:b/>
        </w:rPr>
        <w:t xml:space="preserve">Use Phase Optimization:</w:t>
      </w:r>
      <w:r>
        <w:t xml:space="preserve"> </w:t>
      </w:r>
      <w:r>
        <w:t xml:space="preserve">Prioritize energy efficiency improvements for the product during its use. This could include developing lower-power components, optimizing software for reduced energy draw, or promoting cleaner energy sources for users.</w:t>
      </w:r>
    </w:p>
    <w:p>
      <w:pPr>
        <w:numPr>
          <w:ilvl w:val="0"/>
          <w:numId w:val="1018"/>
        </w:numPr>
        <w:pStyle w:val="Compact"/>
      </w:pPr>
      <w:r>
        <w:rPr>
          <w:bCs/>
          <w:b/>
        </w:rPr>
        <w:t xml:space="preserve">Material Decarbonization:</w:t>
      </w:r>
      <w:r>
        <w:t xml:space="preserve"> </w:t>
      </w:r>
      <w:r>
        <w:t xml:space="preserve">Engage with suppliers to source lower-carbon materials, increase recycled content, and explore alternative materials with inherently lower footprints, especially for high-impact components like electronics and metals.</w:t>
      </w:r>
    </w:p>
    <w:p>
      <w:pPr>
        <w:numPr>
          <w:ilvl w:val="0"/>
          <w:numId w:val="1018"/>
        </w:numPr>
        <w:pStyle w:val="Compact"/>
      </w:pPr>
      <w:r>
        <w:rPr>
          <w:bCs/>
          <w:b/>
        </w:rPr>
        <w:t xml:space="preserve">Manufacturing Energy Transition:</w:t>
      </w:r>
      <w:r>
        <w:t xml:space="preserve"> </w:t>
      </w:r>
      <w:r>
        <w:t xml:space="preserve">Increase the percentage of renewable energy used in the Chinese manufacturing facility beyond 30%. Explore direct power purchase agreements (PPAs) for certified renewable energy or invest in on-site renewable generation.</w:t>
      </w:r>
    </w:p>
    <w:p>
      <w:pPr>
        <w:numPr>
          <w:ilvl w:val="0"/>
          <w:numId w:val="1018"/>
        </w:numPr>
        <w:pStyle w:val="Compact"/>
      </w:pPr>
      <w:r>
        <w:rPr>
          <w:bCs/>
          <w:b/>
        </w:rPr>
        <w:t xml:space="preserve">Circular Economy Enhancement:</w:t>
      </w:r>
      <w:r>
        <w:t xml:space="preserve"> </w:t>
      </w:r>
      <w:r>
        <w:t xml:space="preserve">Continue to strengthen circular/take-back programs (pnlqiihsqv: Yes) and explore further opportunities to enhance recyclability (qvxvtpzulz: 70%) or remanufacturing, as End-of-Life activities currently provide significant avoided emissions.</w:t>
      </w:r>
    </w:p>
    <w:p>
      <w:pPr>
        <w:numPr>
          <w:ilvl w:val="0"/>
          <w:numId w:val="1018"/>
        </w:numPr>
        <w:pStyle w:val="Compact"/>
      </w:pPr>
      <w:r>
        <w:rPr>
          <w:bCs/>
          <w:b/>
        </w:rPr>
        <w:t xml:space="preserve">Supply Chain Transparency:</w:t>
      </w:r>
      <w:r>
        <w:t xml:space="preserve"> </w:t>
      </w:r>
      <w:r>
        <w:t xml:space="preserve">Continue to gather primary data for specific processes in the supply chain to further refine emission factors and identify additional reduction opportunities.</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oudxvesmoh</dc:title>
  <dc:creator/>
  <dc:description>Detailed Product Carbon Footprint (PCF) analysis report for oudxvesmoh, conducted by mnfetqpeni for veyeenklxh, adhering to GHG Protocol standards and 2026 LSR updates.</dc:description>
  <dc:language>en</dc:language>
  <cp:keywords/>
  <dcterms:created xsi:type="dcterms:W3CDTF">2026-07-15T01:28:27Z</dcterms:created>
  <dcterms:modified xsi:type="dcterms:W3CDTF">2026-07-15T01:28:27Z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