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ottuqtgiuu</w:t>
      </w:r>
    </w:p>
    <w:p>
      <w:pPr>
        <w:pStyle w:val="FirstParagraph"/>
      </w:pPr>
      <w:r>
        <w:t xml:space="preserve">**carboncalcpcf.com**</w:t>
      </w:r>
    </w:p>
    <w:bookmarkStart w:id="21" w:name="product-carbon-footprint-analysis"/>
    <w:p>
      <w:pPr>
        <w:pStyle w:val="Heading1"/>
      </w:pPr>
      <w:r>
        <w:t xml:space="preserve">Product Carbon Footprint Analysis</w:t>
      </w:r>
    </w:p>
    <w:bookmarkStart w:id="20" w:name="for-ottuqtgiuu"/>
    <w:p>
      <w:pPr>
        <w:pStyle w:val="Heading2"/>
      </w:pPr>
      <w:r>
        <w:t xml:space="preserve">for ottuqtgiuu</w:t>
      </w:r>
    </w:p>
    <w:p>
      <w:pPr>
        <w:pStyle w:val="FirstParagraph"/>
      </w:pPr>
      <w:r>
        <w:t xml:space="preserve">**Protocol Data (Accounting Standard):** GHG Protocol</w:t>
      </w:r>
    </w:p>
    <w:p>
      <w:pPr>
        <w:pStyle w:val="BodyText"/>
      </w:pPr>
      <w:r>
        <w:t xml:space="preserve">**Name of the Company:** tjlftqwevq</w:t>
      </w:r>
    </w:p>
    <w:p>
      <w:pPr>
        <w:pStyle w:val="BodyText"/>
      </w:pPr>
      <w:r>
        <w:t xml:space="preserve">**Senior Sustainability Consultant:** kpdshthghw</w:t>
      </w:r>
    </w:p>
    <w:p>
      <w:pPr>
        <w:pStyle w:val="BodyText"/>
      </w:pPr>
      <w:r>
        <w:t xml:space="preserve">*Disclaimer: This report is generated based on available data and industry standards. While efforts have been made to ensure accuracy and adherence to the specified methodologies, specific data points for certain parameters are illustrative or derived from commonly accepted proxy values due to the placeholder nature of the input. Future updates with primary data will enhance precision.*</w:t>
      </w:r>
    </w:p>
    <w:bookmarkEnd w:id="20"/>
    <w:bookmarkEnd w:id="21"/>
    <w:bookmarkStart w:id="22" w:name="product-carbon-footprint-report"/>
    <w:p>
      <w:pPr>
        <w:pStyle w:val="Heading1"/>
      </w:pPr>
      <w:r>
        <w:t xml:space="preserve">Product Carbon Footprint Report</w:t>
      </w:r>
    </w:p>
    <w:p>
      <w:pPr>
        <w:pStyle w:val="FirstParagraph"/>
      </w:pPr>
      <w:r>
        <w:t xml:space="preserve">Generated Date: June 4, 2026</w:t>
      </w:r>
    </w:p>
    <w:bookmarkEnd w:id="22"/>
    <w:bookmarkStart w:id="23" w:name="executive-summary"/>
    <w:p>
      <w:pPr>
        <w:pStyle w:val="Heading2"/>
      </w:pPr>
      <w:r>
        <w:t xml:space="preserve">Executive Summary</w:t>
      </w:r>
    </w:p>
    <w:p>
      <w:pPr>
        <w:pStyle w:val="FirstParagraph"/>
      </w:pPr>
      <w:r>
        <w:t xml:space="preserve">This report presents a high-detail Product Carbon Footprint (PCF) analysis for the product "ottuqtgiuu," manufactured by tjlftqwevq. The analysis was conducted by kpdshthghw, Senior Sustainability Consultant, and adheres strictly to the GHG Protocol Product Standard, incorporating the latest 2026 Land Sector and Removals (LSR) Standard updates and targeting at least 95% coverage for Scope 3 emissions. The system boundary for this PCF is \'cradle-to-gate\' for manufacturing, with additional modules for transport, use-phase, and end-of-life to encompass a broader lifecycle perspective. The functional unit is defined as 1.0 unit of ottuqtgiuu. This assessment aims to identify significant greenhouse gas (GHG) emission hotspots across the product\'s lifecycle, enabling informed decisions for emission reduction and sustainable product development.</w:t>
      </w:r>
    </w:p>
    <w:p>
      <w:r>
        <w:pict>
          <v:rect style="width:0;height:1.5pt" o:hralign="center" o:hrstd="t" o:hr="t"/>
        </w:pict>
      </w:r>
    </w:p>
    <w:bookmarkEnd w:id="23"/>
    <w:bookmarkStart w:id="24" w:name="scope-definition"/>
    <w:p>
      <w:pPr>
        <w:pStyle w:val="Heading2"/>
      </w:pPr>
      <w:r>
        <w:t xml:space="preserve">1. Scope Definition</w:t>
      </w:r>
    </w:p>
    <w:p>
      <w:pPr>
        <w:pStyle w:val="FirstParagraph"/>
      </w:pPr>
      <w:r>
        <w:t xml:space="preserve">The initial step of this Product Carbon Footprint (PCF) analysis involves clearly defining the parameters that govern the assessment.</w:t>
      </w:r>
    </w:p>
    <w:p>
      <w:pPr>
        <w:numPr>
          <w:ilvl w:val="0"/>
          <w:numId w:val="1001"/>
        </w:numPr>
        <w:pStyle w:val="Compact"/>
      </w:pPr>
      <w:r>
        <w:t xml:space="preserve">**Functional Unit:** 1.0 unit of ottuqtgiuu</w:t>
      </w:r>
    </w:p>
    <w:p>
      <w:pPr>
        <w:numPr>
          <w:ilvl w:val="0"/>
          <w:numId w:val="1001"/>
        </w:numPr>
        <w:pStyle w:val="Compact"/>
      </w:pPr>
      <w:r>
        <w:t xml:space="preserve">**System Boundary:** The primary system boundary for the manufacturing phase is \'factory_gate\', meaning emissions are calculated up to the point the product leaves the manufacturing facility. However, to provide a holistic view, this report extends beyond the factory gate to include downstream transportation, the use phase, and end-of-life scenarios, effectively encompassing a \'cradle-to-grave\' perspective where data allows.</w:t>
      </w:r>
    </w:p>
    <w:p>
      <w:pPr>
        <w:numPr>
          <w:ilvl w:val="0"/>
          <w:numId w:val="1001"/>
        </w:numPr>
        <w:pStyle w:val="Compact"/>
      </w:pPr>
      <w:r>
        <w:t xml:space="preserve">**Geographic Scope:** Final production occurs in China, while the supply chain for raw materials and components is primarily focused on Europe. Downstream distribution extends to European markets.</w:t>
      </w:r>
    </w:p>
    <w:p>
      <w:pPr>
        <w:numPr>
          <w:ilvl w:val="0"/>
          <w:numId w:val="1001"/>
        </w:numPr>
        <w:pStyle w:val="Compact"/>
      </w:pPr>
      <w:r>
        <w:t xml:space="preserve">**Accounting Standard:** This analysis rigorously adheres to the Greenhouse Gas (GHG) Protocol Product Standard. The GHG Protocol categorizes emissions into three scopes:</w:t>
      </w:r>
    </w:p>
    <w:p>
      <w:pPr>
        <w:numPr>
          <w:ilvl w:val="1"/>
          <w:numId w:val="1002"/>
        </w:numPr>
        <w:pStyle w:val="Compact"/>
      </w:pPr>
      <w:r>
        <w:t xml:space="preserve">**Scope 1:** Direct GHG emissions from sources owned or controlled by the reporting entity. For a PCF with a \'factory_gate\' boundary and external suppliers, most operational emissions from direct combustion at the final assembly plant would be Scope 1. However, for this product, these are assumed to be negligible or embedded in electricity consumption (Scope 2).</w:t>
      </w:r>
    </w:p>
    <w:p>
      <w:pPr>
        <w:numPr>
          <w:ilvl w:val="1"/>
          <w:numId w:val="1002"/>
        </w:numPr>
        <w:pStyle w:val="Compact"/>
      </w:pPr>
      <w:r>
        <w:t xml:space="preserve">**Scope 2:** Indirect GHG emissions from the generation of purchased electricity, heat, or steam consumed by the reporting entity. This primarily covers electricity usage during the manufacturing of ottuqtgiuu.</w:t>
      </w:r>
    </w:p>
    <w:p>
      <w:pPr>
        <w:numPr>
          <w:ilvl w:val="1"/>
          <w:numId w:val="1002"/>
        </w:numPr>
        <w:pStyle w:val="Compact"/>
      </w:pPr>
      <w:r>
        <w:t xml:space="preserve">**Scope 3:** All other indirect emissions that occur in the value chain of the reporting company, both upstream and downstream. This encompasses emissions from raw material extraction and processing, upstream transportation, manufacturing by suppliers, downstream transportation (including last-mile delivery), product use, and end-of-life treatment. The 2026 GHG Protocol Scope 3 revisions emphasize a 95% inclusion threshold for required Scope 3 emissions to ensure comprehensive reporting. This report strives for full coverage within the defined system boundaries.</w:t>
      </w:r>
    </w:p>
    <w:p>
      <w:pPr>
        <w:numPr>
          <w:ilvl w:val="0"/>
          <w:numId w:val="1001"/>
        </w:numPr>
        <w:pStyle w:val="Compact"/>
      </w:pPr>
      <w:r>
        <w:t xml:space="preserve">**Allocation:** For multi-product manufacturing processes or shared resources, emissions are allocated to "ottuqtgiuu" based on mass, economic value, or other relevant physical relationships, in line with GHG Protocol guidance.</w:t>
      </w:r>
    </w:p>
    <w:p>
      <w:pPr>
        <w:numPr>
          <w:ilvl w:val="0"/>
          <w:numId w:val="1001"/>
        </w:numPr>
        <w:pStyle w:val="Compact"/>
      </w:pPr>
      <w:r>
        <w:t xml:space="preserve">**2026 Land Sector and Removals (LSR) Standard Update:** The GHG Protocol\'s Land Sector and Removals (LSR) Standard, released in January 2026 and effective January 1, 2027, provides accounting requirements for land management, land use change, CO₂ removals, and biogenic products. While the direct land-use impact of "ottuqtgiuu" is not explicitly quantified due to data limitations in the provided parameters, its principles are acknowledged. Should the product\'s supply chain involve significant bio-based materials, land-use change, or carbon removal activities in future assessments, this standard would be fully integrated to track relevant emissions and removals.</w:t>
      </w:r>
    </w:p>
    <w:p>
      <w:r>
        <w:pict>
          <v:rect style="width:0;height:1.5pt" o:hralign="center" o:hrstd="t" o:hr="t"/>
        </w:pict>
      </w:r>
    </w:p>
    <w:bookmarkEnd w:id="24"/>
    <w:bookmarkStart w:id="33" w:name="X07cf0ea829f60a4f8fa47c00f72a11793fbe483"/>
    <w:p>
      <w:pPr>
        <w:pStyle w:val="Heading2"/>
      </w:pPr>
      <w:r>
        <w:t xml:space="preserve">2. Lifecycle Mapping (LCI Inventory Stages) &amp; 3. Data Collection</w:t>
      </w:r>
    </w:p>
    <w:p>
      <w:pPr>
        <w:pStyle w:val="FirstParagraph"/>
      </w:pPr>
      <w:r>
        <w:t xml:space="preserve">The lifecycle of "ottuqtgiuu" is mapped across key stages, and data is collected from both primary (where specified) and secondary (industry-average emission factors) sources. This section details the inputs for each stage.</w:t>
      </w:r>
    </w:p>
    <w:bookmarkStart w:id="25" w:name="X7059ea95c6e8f1955792128c7ba52f4f5dc10fa"/>
    <w:p>
      <w:pPr>
        <w:pStyle w:val="Heading3"/>
      </w:pPr>
      <w:r>
        <w:t xml:space="preserve">2.1. Materials Acquisition and Processing (Upstream - Scope 3)</w:t>
      </w:r>
    </w:p>
    <w:p>
      <w:pPr>
        <w:pStyle w:val="FirstParagraph"/>
      </w:pPr>
      <w:r>
        <w:t xml:space="preserve">The Detailed Bill of Materials (BOM) for "ottuqtgiuu" provides the foundation for quantifying the emissions associated with raw material extraction and component manufacturing. These emissions fall under Scope 3, specifically Category 1 (Purchased Goods and Services).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 (kg)</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ABS Plastic Casing</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0.20</w:t>
            </w:r>
          </w:p>
        </w:tc>
        <w:tc>
          <w:tcPr/>
          <w:p>
            <w:pPr>
              <w:pStyle w:val="Compact"/>
              <w:jc w:val="left"/>
            </w:pPr>
            <w:r>
              <w:t xml:space="preserve">kg</w:t>
            </w:r>
          </w:p>
        </w:tc>
        <w:tc>
          <w:tcPr/>
          <w:p>
            <w:pPr>
              <w:pStyle w:val="Compact"/>
              <w:jc w:val="left"/>
            </w:pPr>
            <w:r>
              <w:t xml:space="preserve">2.80</w:t>
            </w:r>
          </w:p>
        </w:tc>
        <w:tc>
          <w:tcPr/>
          <w:p>
            <w:pPr>
              <w:pStyle w:val="Compact"/>
              <w:jc w:val="left"/>
            </w:pPr>
            <w:r>
              <w:t xml:space="preserve">0.56</w:t>
            </w:r>
          </w:p>
        </w:tc>
      </w:tr>
      <w:tr>
        <w:tc>
          <w:tcPr/>
          <w:p>
            <w:pPr>
              <w:pStyle w:val="Compact"/>
              <w:jc w:val="left"/>
            </w:pPr>
            <w:r>
              <w:t xml:space="preserve">M002</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0.08</w:t>
            </w:r>
          </w:p>
        </w:tc>
        <w:tc>
          <w:tcPr/>
          <w:p>
            <w:pPr>
              <w:pStyle w:val="Compact"/>
              <w:jc w:val="left"/>
            </w:pPr>
            <w:r>
              <w:t xml:space="preserve">kg</w:t>
            </w:r>
          </w:p>
        </w:tc>
        <w:tc>
          <w:tcPr/>
          <w:p>
            <w:pPr>
              <w:pStyle w:val="Compact"/>
              <w:jc w:val="left"/>
            </w:pPr>
            <w:r>
              <w:t xml:space="preserve">18.00</w:t>
            </w:r>
          </w:p>
        </w:tc>
        <w:tc>
          <w:tcPr/>
          <w:p>
            <w:pPr>
              <w:pStyle w:val="Compact"/>
              <w:jc w:val="left"/>
            </w:pPr>
            <w:r>
              <w:t xml:space="preserve">1.44</w:t>
            </w:r>
          </w:p>
        </w:tc>
      </w:tr>
      <w:tr>
        <w:tc>
          <w:tcPr/>
          <w:p>
            <w:pPr>
              <w:pStyle w:val="Compact"/>
              <w:jc w:val="left"/>
            </w:pPr>
            <w:r>
              <w:t xml:space="preserve">M003</w:t>
            </w:r>
          </w:p>
        </w:tc>
        <w:tc>
          <w:tcPr/>
          <w:p>
            <w:pPr>
              <w:pStyle w:val="Compact"/>
              <w:jc w:val="left"/>
            </w:pPr>
            <w:r>
              <w:t xml:space="preserve">Lithium-ion Battery Cell</w:t>
            </w:r>
          </w:p>
        </w:tc>
        <w:tc>
          <w:tcPr/>
          <w:p>
            <w:pPr>
              <w:pStyle w:val="Compact"/>
              <w:jc w:val="left"/>
            </w:pPr>
            <w:r>
              <w:t xml:space="preserve">Battery</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10.00</w:t>
            </w:r>
          </w:p>
        </w:tc>
        <w:tc>
          <w:tcPr/>
          <w:p>
            <w:pPr>
              <w:pStyle w:val="Compact"/>
              <w:jc w:val="left"/>
            </w:pPr>
            <w:r>
              <w:t xml:space="preserve">0.50</w:t>
            </w:r>
          </w:p>
        </w:tc>
      </w:tr>
      <w:tr>
        <w:tc>
          <w:tcPr/>
          <w:p>
            <w:pPr>
              <w:pStyle w:val="Compact"/>
              <w:jc w:val="left"/>
            </w:pPr>
            <w:r>
              <w:t xml:space="preserve">M004</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0.02</w:t>
            </w:r>
          </w:p>
        </w:tc>
        <w:tc>
          <w:tcPr/>
          <w:p>
            <w:pPr>
              <w:pStyle w:val="Compact"/>
              <w:jc w:val="left"/>
            </w:pPr>
            <w:r>
              <w:t xml:space="preserve">kg</w:t>
            </w:r>
          </w:p>
        </w:tc>
        <w:tc>
          <w:tcPr/>
          <w:p>
            <w:pPr>
              <w:pStyle w:val="Compact"/>
              <w:jc w:val="left"/>
            </w:pPr>
            <w:r>
              <w:t xml:space="preserve">4.10</w:t>
            </w:r>
          </w:p>
        </w:tc>
        <w:tc>
          <w:tcPr/>
          <w:p>
            <w:pPr>
              <w:pStyle w:val="Compact"/>
              <w:jc w:val="left"/>
            </w:pPr>
            <w:r>
              <w:t xml:space="preserve">0.08</w:t>
            </w:r>
          </w:p>
        </w:tc>
      </w:tr>
      <w:tr>
        <w:tc>
          <w:tcPr/>
          <w:p>
            <w:pPr>
              <w:pStyle w:val="Compact"/>
              <w:jc w:val="left"/>
            </w:pPr>
            <w:r>
              <w:t xml:space="preserve">M005</w:t>
            </w:r>
          </w:p>
        </w:tc>
        <w:tc>
          <w:tcPr/>
          <w:p>
            <w:pPr>
              <w:pStyle w:val="Compact"/>
              <w:jc w:val="left"/>
            </w:pPr>
            <w:r>
              <w:t xml:space="preserve">Corrugated Cardboard Packaging</w:t>
            </w:r>
          </w:p>
        </w:tc>
        <w:tc>
          <w:tcPr/>
          <w:p>
            <w:pPr>
              <w:pStyle w:val="Compact"/>
              <w:jc w:val="left"/>
            </w:pPr>
            <w:r>
              <w:t xml:space="preserve">Packaging</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0.94</w:t>
            </w:r>
          </w:p>
        </w:tc>
        <w:tc>
          <w:tcPr/>
          <w:p>
            <w:pPr>
              <w:pStyle w:val="Compact"/>
              <w:jc w:val="left"/>
            </w:pPr>
            <w:r>
              <w:t xml:space="preserve">0.05</w:t>
            </w:r>
          </w:p>
        </w:tc>
      </w:tr>
    </w:tbl>
    <w:p>
      <w:pPr>
        <w:pStyle w:val="BodyText"/>
      </w:pPr>
      <w:r>
        <w:t xml:space="preserve">*Note on Emission Factors:* Emission factors for materials are derived from industry-standard databases (e.g., Ecoinvent, DEFRA proxies) representing a \'cradle-to-gate\' scope for the material/component itself. For electronics, the factor is higher due to complex processes and potential use of fluorinated gases. The cardboard factor is for virgin material.</w:t>
      </w:r>
    </w:p>
    <w:bookmarkEnd w:id="25"/>
    <w:bookmarkStart w:id="26" w:name="X5ef7397ed314fd66b9fc977436b512b668b93e7"/>
    <w:p>
      <w:pPr>
        <w:pStyle w:val="Heading3"/>
      </w:pPr>
      <w:r>
        <w:t xml:space="preserve">2.2. Manufacturing (Production Phase - Scope 2 &amp; 3)</w:t>
      </w:r>
    </w:p>
    <w:p>
      <w:pPr>
        <w:pStyle w:val="FirstParagraph"/>
      </w:pPr>
      <w:r>
        <w:t xml:space="preserve">This stage covers the energy consumed at the final assembly plant in China.</w:t>
      </w:r>
    </w:p>
    <w:p>
      <w:pPr>
        <w:numPr>
          <w:ilvl w:val="0"/>
          <w:numId w:val="1003"/>
        </w:numPr>
        <w:pStyle w:val="Compact"/>
      </w:pPr>
      <w:r>
        <w:t xml:space="preserve">**Energy Intensity (kWh/unit):** 0.5 kWh/unit [nuxqnrgkuu]</w:t>
      </w:r>
    </w:p>
    <w:p>
      <w:pPr>
        <w:numPr>
          <w:ilvl w:val="0"/>
          <w:numId w:val="1003"/>
        </w:numPr>
        <w:pStyle w:val="Compact"/>
      </w:pPr>
      <w:r>
        <w:t xml:space="preserve">**Renewable Energy Usage:** 50% [pfewtttjwo]</w:t>
      </w:r>
    </w:p>
    <w:p>
      <w:pPr>
        <w:numPr>
          <w:ilvl w:val="0"/>
          <w:numId w:val="1003"/>
        </w:numPr>
        <w:pStyle w:val="Compact"/>
      </w:pPr>
      <w:r>
        <w:t xml:space="preserve">**Electricity Grid Emission Factor (China):** 0.614 kgCO2e/kWh (national average, 2025 projection).</w:t>
      </w:r>
    </w:p>
    <w:p>
      <w:pPr>
        <w:numPr>
          <w:ilvl w:val="0"/>
          <w:numId w:val="1003"/>
        </w:numPr>
        <w:pStyle w:val="Compact"/>
      </w:pPr>
      <w:r>
        <w:t xml:space="preserve">**Scope 2 Emission Calculation:** (0.5 kWh/unit) * (1 - 0.50 renewable usage) * (0.614 kgCO2e/kWh) = 0.1535 kgCO2e/unit. The 50% renewable energy is assumed to have zero direct emissions at the point of consumption, following a market-based approach for Scope 2 if RECs are retired, or a location-based approach where renewables are part of the grid mix.</w:t>
      </w:r>
    </w:p>
    <w:p>
      <w:pPr>
        <w:numPr>
          <w:ilvl w:val="0"/>
          <w:numId w:val="1003"/>
        </w:numPr>
        <w:pStyle w:val="Compact"/>
      </w:pPr>
      <w:r>
        <w:t xml:space="preserve">**Direct Process Emissions (Scope 1):** Assumed to be negligible or accounted for within the upstream material emission factors for the purpose of this PCF at the \'factory_gate\' boundary.</w:t>
      </w:r>
    </w:p>
    <w:bookmarkEnd w:id="26"/>
    <w:bookmarkStart w:id="30" w:name="X981923b8cb60f0edee598a5efe02199461582eb"/>
    <w:p>
      <w:pPr>
        <w:pStyle w:val="Heading3"/>
      </w:pPr>
      <w:r>
        <w:t xml:space="preserve">2.3. Transportation (Scope 3 - Upstream &amp; Downstream)</w:t>
      </w:r>
    </w:p>
    <w:p>
      <w:pPr>
        <w:pStyle w:val="FirstParagraph"/>
      </w:pPr>
      <w:r>
        <w:t xml:space="preserve">Transportation emissions are calculated for inbound logistics (raw materials to factory) and outbound logistics (finished product to market, including last-mile delivery).</w:t>
      </w:r>
    </w:p>
    <w:p>
      <w:pPr>
        <w:pStyle w:val="BodyText"/>
      </w:pPr>
      <w:r>
        <w:t xml:space="preserve">**Total product mass for transport:** Sum of BOM materials (0.2 + 0.08 + 0.05 + 0.02 + 0.05 = 0.4 kg/unit).</w:t>
      </w:r>
    </w:p>
    <w:bookmarkStart w:id="27" w:name="X16f022fc579445fba9fc336285cb2464ec3f858"/>
    <w:p>
      <w:pPr>
        <w:pStyle w:val="Heading4"/>
      </w:pPr>
      <w:r>
        <w:t xml:space="preserve">2.3.1. Upstream Transportation (Raw Materials - Europe to China)</w:t>
      </w:r>
    </w:p>
    <w:p>
      <w:pPr>
        <w:numPr>
          <w:ilvl w:val="0"/>
          <w:numId w:val="1004"/>
        </w:numPr>
        <w:pStyle w:val="Compact"/>
      </w:pPr>
      <w:r>
        <w:t xml:space="preserve">**Transport Mode:** Ocean Freight (Bulk Cargo Ship) [Select Mode]</w:t>
      </w:r>
    </w:p>
    <w:p>
      <w:pPr>
        <w:numPr>
          <w:ilvl w:val="0"/>
          <w:numId w:val="1004"/>
        </w:numPr>
        <w:pStyle w:val="Compact"/>
      </w:pPr>
      <w:r>
        <w:t xml:space="preserve">**Transport Distance:** 10,000 km [mysqrxqqoy]</w:t>
      </w:r>
    </w:p>
    <w:p>
      <w:pPr>
        <w:numPr>
          <w:ilvl w:val="0"/>
          <w:numId w:val="1004"/>
        </w:numPr>
        <w:pStyle w:val="Compact"/>
      </w:pPr>
      <w:r>
        <w:t xml:space="preserve">**Emission Factor (Ocean Freight):** 0.016 kgCO2e/tonne-km.</w:t>
      </w:r>
    </w:p>
    <w:p>
      <w:pPr>
        <w:numPr>
          <w:ilvl w:val="0"/>
          <w:numId w:val="1004"/>
        </w:numPr>
        <w:pStyle w:val="Compact"/>
      </w:pPr>
      <w:r>
        <w:t xml:space="preserve">**Calculation:** (0.4 kg/unit / 1000 kg/tonne) * 10,000 km * 0.016 kgCO2e/tonne-km = 0.064 kgCO2e/unit.</w:t>
      </w:r>
    </w:p>
    <w:bookmarkEnd w:id="27"/>
    <w:bookmarkStart w:id="28" w:name="X694e3df68a2ba80476da9d355a0143211cabd75"/>
    <w:p>
      <w:pPr>
        <w:pStyle w:val="Heading4"/>
      </w:pPr>
      <w:r>
        <w:t xml:space="preserve">2.3.2. Downstream Transportation (Factory to Distribution Center - China)</w:t>
      </w:r>
    </w:p>
    <w:p>
      <w:pPr>
        <w:numPr>
          <w:ilvl w:val="0"/>
          <w:numId w:val="1005"/>
        </w:numPr>
        <w:pStyle w:val="Compact"/>
      </w:pPr>
      <w:r>
        <w:t xml:space="preserve">**Transport Mode:** Road Freight (Heavy Duty Truck) [Select Mode]</w:t>
      </w:r>
    </w:p>
    <w:p>
      <w:pPr>
        <w:numPr>
          <w:ilvl w:val="0"/>
          <w:numId w:val="1005"/>
        </w:numPr>
        <w:pStyle w:val="Compact"/>
      </w:pPr>
      <w:r>
        <w:t xml:space="preserve">**Transport Distance:** 500 km (within China) [mysqrxqqoy]</w:t>
      </w:r>
    </w:p>
    <w:p>
      <w:pPr>
        <w:numPr>
          <w:ilvl w:val="0"/>
          <w:numId w:val="1005"/>
        </w:numPr>
        <w:pStyle w:val="Compact"/>
      </w:pPr>
      <w:r>
        <w:t xml:space="preserve">**Emission Factor (Road Freight):** 0.062 kgCO2e/tonne-km (McKinnon average).</w:t>
      </w:r>
    </w:p>
    <w:p>
      <w:pPr>
        <w:numPr>
          <w:ilvl w:val="0"/>
          <w:numId w:val="1005"/>
        </w:numPr>
        <w:pStyle w:val="Compact"/>
      </w:pPr>
      <w:r>
        <w:t xml:space="preserve">**Calculation:** (0.4 kg/unit / 1000 kg/tonne) * 500 km * 0.062 kgCO2e/tonne-km = 0.0124 kgCO2e/unit.</w:t>
      </w:r>
    </w:p>
    <w:bookmarkEnd w:id="28"/>
    <w:bookmarkStart w:id="29" w:name="X77d74e8b27a0eb6d0a3f674010f6890cac1ba05"/>
    <w:p>
      <w:pPr>
        <w:pStyle w:val="Heading4"/>
      </w:pPr>
      <w:r>
        <w:t xml:space="preserve">2.3.3. Last-Mile Delivery (Distribution Center to End-Consumer - Europe)</w:t>
      </w:r>
    </w:p>
    <w:p>
      <w:pPr>
        <w:numPr>
          <w:ilvl w:val="0"/>
          <w:numId w:val="1006"/>
        </w:numPr>
        <w:pStyle w:val="Compact"/>
      </w:pPr>
      <w:r>
        <w:t xml:space="preserve">**Delivery Channel:** Commercial Courier (Van) [Delivery Type]</w:t>
      </w:r>
    </w:p>
    <w:p>
      <w:pPr>
        <w:numPr>
          <w:ilvl w:val="0"/>
          <w:numId w:val="1006"/>
        </w:numPr>
        <w:pStyle w:val="Compact"/>
      </w:pPr>
      <w:r>
        <w:t xml:space="preserve">**Transport Distance:** 200 km (within Europe) [mysqrxqqoy]</w:t>
      </w:r>
    </w:p>
    <w:p>
      <w:pPr>
        <w:numPr>
          <w:ilvl w:val="0"/>
          <w:numId w:val="1006"/>
        </w:numPr>
        <w:pStyle w:val="Compact"/>
      </w:pPr>
      <w:r>
        <w:t xml:space="preserve">**Emission Factor (Commercial Courier):** 0.1 kgCO2e/item-km (proxy for light parcel delivery).</w:t>
      </w:r>
    </w:p>
    <w:p>
      <w:pPr>
        <w:numPr>
          <w:ilvl w:val="0"/>
          <w:numId w:val="1006"/>
        </w:numPr>
        <w:pStyle w:val="Compact"/>
      </w:pPr>
      <w:r>
        <w:t xml:space="preserve">**Calculation:** 1 unit * 200 km * 0.1 kgCO2e/item-km = 20.0 kgCO2e/unit. This high value reflects the inefficiency of individual parcel delivery compared to bulk freight.</w:t>
      </w:r>
    </w:p>
    <w:bookmarkEnd w:id="29"/>
    <w:bookmarkEnd w:id="30"/>
    <w:bookmarkStart w:id="31" w:name="use-phase-downstream---scope-3"/>
    <w:p>
      <w:pPr>
        <w:pStyle w:val="Heading3"/>
      </w:pPr>
      <w:r>
        <w:t xml:space="preserve">2.4. Use Phase (Downstream - Scope 3)</w:t>
      </w:r>
    </w:p>
    <w:p>
      <w:pPr>
        <w:pStyle w:val="FirstParagraph"/>
      </w:pPr>
      <w:r>
        <w:t xml:space="preserve">This phase considers the energy consumed by the product during its functional life.</w:t>
      </w:r>
    </w:p>
    <w:p>
      <w:pPr>
        <w:numPr>
          <w:ilvl w:val="0"/>
          <w:numId w:val="1007"/>
        </w:numPr>
        <w:pStyle w:val="Compact"/>
      </w:pPr>
      <w:r>
        <w:t xml:space="preserve">**Product Lifespan:** 3 years [nxdgkjyjun]</w:t>
      </w:r>
    </w:p>
    <w:p>
      <w:pPr>
        <w:numPr>
          <w:ilvl w:val="0"/>
          <w:numId w:val="1007"/>
        </w:numPr>
        <w:pStyle w:val="Compact"/>
      </w:pPr>
      <w:r>
        <w:t xml:space="preserve">**Energy Consumption in Use:** 2 kWh/year [hdjnlgypyo]</w:t>
      </w:r>
    </w:p>
    <w:p>
      <w:pPr>
        <w:numPr>
          <w:ilvl w:val="0"/>
          <w:numId w:val="1007"/>
        </w:numPr>
        <w:pStyle w:val="Compact"/>
      </w:pPr>
      <w:r>
        <w:t xml:space="preserve">**Electricity Grid Emission Factor (Europe average proxy):** 0.3 kgCO2e/kWh (illustrative average, varies by country).</w:t>
      </w:r>
    </w:p>
    <w:p>
      <w:pPr>
        <w:numPr>
          <w:ilvl w:val="0"/>
          <w:numId w:val="1007"/>
        </w:numPr>
        <w:pStyle w:val="Compact"/>
      </w:pPr>
      <w:r>
        <w:t xml:space="preserve">**Calculation:** (2 kWh/year * 3 years) * 0.3 kgCO2e/kWh = 1.8 kgCO2e/unit.</w:t>
      </w:r>
    </w:p>
    <w:bookmarkEnd w:id="31"/>
    <w:bookmarkStart w:id="32" w:name="end-of-life-downstream---scope-3"/>
    <w:p>
      <w:pPr>
        <w:pStyle w:val="Heading3"/>
      </w:pPr>
      <w:r>
        <w:t xml:space="preserve">2.5. End-of-Life (Downstream - Scope 3)</w:t>
      </w:r>
    </w:p>
    <w:p>
      <w:pPr>
        <w:pStyle w:val="FirstParagraph"/>
      </w:pPr>
      <w:r>
        <w:t xml:space="preserve">End-of-life scenarios reflect the impact of disposal and potential benefits from recycling and circular economy programs.</w:t>
      </w:r>
    </w:p>
    <w:p>
      <w:pPr>
        <w:numPr>
          <w:ilvl w:val="0"/>
          <w:numId w:val="1008"/>
        </w:numPr>
        <w:pStyle w:val="Compact"/>
      </w:pPr>
      <w:r>
        <w:t xml:space="preserve">**Total Product Mass:** 0.4 kg/unit</w:t>
      </w:r>
    </w:p>
    <w:p>
      <w:pPr>
        <w:numPr>
          <w:ilvl w:val="0"/>
          <w:numId w:val="1008"/>
        </w:numPr>
        <w:pStyle w:val="Compact"/>
      </w:pPr>
      <w:r>
        <w:t xml:space="preserve">**Recyclability Percentage:** 70% [jvjirdvwmj]</w:t>
      </w:r>
    </w:p>
    <w:p>
      <w:pPr>
        <w:numPr>
          <w:ilvl w:val="0"/>
          <w:numId w:val="1008"/>
        </w:numPr>
        <w:pStyle w:val="Compact"/>
      </w:pPr>
      <w:r>
        <w:t xml:space="preserve">**Circular/Take-back Programs:** Yes [gjtduztwzy]</w:t>
      </w:r>
    </w:p>
    <w:p>
      <w:pPr>
        <w:numPr>
          <w:ilvl w:val="0"/>
          <w:numId w:val="1008"/>
        </w:numPr>
        <w:pStyle w:val="Compact"/>
      </w:pPr>
      <w:r>
        <w:t xml:space="preserve">**Recycling Credits (illustrative):**</w:t>
      </w:r>
    </w:p>
    <w:p>
      <w:pPr>
        <w:numPr>
          <w:ilvl w:val="1"/>
          <w:numId w:val="1009"/>
        </w:numPr>
        <w:pStyle w:val="Compact"/>
      </w:pPr>
      <w:r>
        <w:t xml:space="preserve">Plastic: -1.5 kgCO2e/kg</w:t>
      </w:r>
    </w:p>
    <w:p>
      <w:pPr>
        <w:numPr>
          <w:ilvl w:val="1"/>
          <w:numId w:val="1009"/>
        </w:numPr>
        <w:pStyle w:val="Compact"/>
      </w:pPr>
      <w:r>
        <w:t xml:space="preserve">Metal (Copper): -3.0 kgCO2e/kg</w:t>
      </w:r>
    </w:p>
    <w:p>
      <w:pPr>
        <w:numPr>
          <w:ilvl w:val="1"/>
          <w:numId w:val="1009"/>
        </w:numPr>
        <w:pStyle w:val="Compact"/>
      </w:pPr>
      <w:r>
        <w:t xml:space="preserve">Cardboard: -0.7 kgCO2e/kg</w:t>
      </w:r>
    </w:p>
    <w:p>
      <w:pPr>
        <w:numPr>
          <w:ilvl w:val="0"/>
          <w:numId w:val="1008"/>
        </w:numPr>
        <w:pStyle w:val="Compact"/>
      </w:pPr>
      <w:r>
        <w:t xml:space="preserve">**Disposal (Landfill) Emission Factor (illustrative):** Assume 0.1 kgCO2e/kg for non-recyclable residual waste.</w:t>
      </w:r>
    </w:p>
    <w:p>
      <w:pPr>
        <w:pStyle w:val="FirstParagraph"/>
      </w:pPr>
      <w:r>
        <w:t xml:space="preserve">**EoL Calculation Breakdown (simplified based on total product mass and average credits):**</w:t>
      </w:r>
    </w:p>
    <w:p>
      <w:pPr>
        <w:numPr>
          <w:ilvl w:val="0"/>
          <w:numId w:val="1010"/>
        </w:numPr>
        <w:pStyle w:val="Compact"/>
      </w:pPr>
      <w:r>
        <w:t xml:space="preserve">**Recycled Portion (70%):** 0.4 kg * 0.70 = 0.28 kg.</w:t>
      </w:r>
      <w:r>
        <w:t xml:space="preserve"> </w:t>
      </w:r>
      <w:r>
        <w:t xml:space="preserve">* Assuming an average recycling credit of -1.5 kgCO2e/kg across mixed materials: 0.28 kg * -1.5 kgCO2e/kg = -0.42 kgCO2e.</w:t>
      </w:r>
      <w:r>
        <w:t xml:space="preserve"> </w:t>
      </w:r>
      <w:r>
        <w:t xml:space="preserve">* **Impact of Circular/Take-back Programs:** Assumed to enhance recovery or extend lifespan, providing an additional 20% reduction in EoL impact for the recycled portion.</w:t>
      </w:r>
      <w:r>
        <w:t xml:space="preserve"> </w:t>
      </w:r>
      <w:r>
        <w:t xml:space="preserve">* Adjusted Recycling Credit: -0.42 kgCO2e * (1 - 0.20) = -0.336 kgCO2e.</w:t>
      </w:r>
    </w:p>
    <w:p>
      <w:pPr>
        <w:numPr>
          <w:ilvl w:val="0"/>
          <w:numId w:val="1010"/>
        </w:numPr>
        <w:pStyle w:val="Compact"/>
      </w:pPr>
      <w:r>
        <w:t xml:space="preserve">**Disposed Portion (30%):** 0.4 kg * 0.30 = 0.12 kg.</w:t>
      </w:r>
      <w:r>
        <w:t xml:space="preserve"> </w:t>
      </w:r>
      <w:r>
        <w:t xml:space="preserve">* 0.12 kg * 0.1 kgCO2e/kg (disposal EF) = 0.012 kgCO2e.</w:t>
      </w:r>
    </w:p>
    <w:p>
      <w:pPr>
        <w:numPr>
          <w:ilvl w:val="0"/>
          <w:numId w:val="1010"/>
        </w:numPr>
        <w:pStyle w:val="Compact"/>
      </w:pPr>
      <w:r>
        <w:t xml:space="preserve">**Total EoL Emissions:** -0.336 kgCO2e + 0.012 kgCO2e = -0.324 kgCO2e/unit. (Negative value indicates a net carbon removal/avoidance due to recycling).</w:t>
      </w:r>
    </w:p>
    <w:p>
      <w:r>
        <w:pict>
          <v:rect style="width:0;height:1.5pt" o:hralign="center" o:hrstd="t" o:hr="t"/>
        </w:pict>
      </w:r>
    </w:p>
    <w:bookmarkEnd w:id="32"/>
    <w:bookmarkEnd w:id="33"/>
    <w:bookmarkStart w:id="37" w:name="emission-calculation-and-categorization"/>
    <w:p>
      <w:pPr>
        <w:pStyle w:val="Heading2"/>
      </w:pPr>
      <w:r>
        <w:t xml:space="preserve">4. Emission Calculation and Categorization</w:t>
      </w:r>
    </w:p>
    <w:p>
      <w:pPr>
        <w:pStyle w:val="FirstParagraph"/>
      </w:pPr>
      <w:r>
        <w:t xml:space="preserve">The total Product Carbon Footprint for "ottuqtgiuu" is calculated by summing emissions from each life cycle stage, categorized according to the GHG Protocol Scopes.</w:t>
      </w:r>
    </w:p>
    <w:bookmarkStart w:id="34" w:name="summary-of-emissions-by-lifecycle-stage"/>
    <w:p>
      <w:pPr>
        <w:pStyle w:val="Heading3"/>
      </w:pPr>
      <w:r>
        <w:t xml:space="preserve">4.1. Summary of Emissions by Lifecycle Stage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Calculated Emissions (kgCO2e/unit)</w:t>
            </w:r>
          </w:p>
        </w:tc>
        <w:tc>
          <w:tcPr/>
          <w:p>
            <w:pPr>
              <w:pStyle w:val="Compact"/>
              <w:jc w:val="left"/>
            </w:pPr>
            <w:r>
              <w:t xml:space="preserve">GHG Scope</w:t>
            </w:r>
          </w:p>
        </w:tc>
      </w:tr>
      <w:tr>
        <w:tc>
          <w:tcPr/>
          <w:p>
            <w:pPr>
              <w:pStyle w:val="Compact"/>
              <w:jc w:val="left"/>
            </w:pPr>
            <w:r>
              <w:t xml:space="preserve">Materials Acquisition &amp; Processing</w:t>
            </w:r>
          </w:p>
        </w:tc>
        <w:tc>
          <w:tcPr/>
          <w:p>
            <w:pPr>
              <w:pStyle w:val="Compact"/>
              <w:jc w:val="left"/>
            </w:pPr>
            <w:r>
              <w:t xml:space="preserve">2.63</w:t>
            </w:r>
          </w:p>
        </w:tc>
        <w:tc>
          <w:tcPr/>
          <w:p>
            <w:pPr>
              <w:pStyle w:val="Compact"/>
              <w:jc w:val="left"/>
            </w:pPr>
            <w:r>
              <w:t xml:space="preserve">Scope 3 (Upstream)</w:t>
            </w:r>
          </w:p>
        </w:tc>
      </w:tr>
      <w:tr>
        <w:tc>
          <w:tcPr/>
          <w:p>
            <w:pPr>
              <w:pStyle w:val="Compact"/>
              <w:jc w:val="left"/>
            </w:pPr>
            <w:r>
              <w:t xml:space="preserve">Manufacturing (Energy)</w:t>
            </w:r>
          </w:p>
        </w:tc>
        <w:tc>
          <w:tcPr/>
          <w:p>
            <w:pPr>
              <w:pStyle w:val="Compact"/>
              <w:jc w:val="left"/>
            </w:pPr>
            <w:r>
              <w:t xml:space="preserve">0.15</w:t>
            </w:r>
          </w:p>
        </w:tc>
        <w:tc>
          <w:tcPr/>
          <w:p>
            <w:pPr>
              <w:pStyle w:val="Compact"/>
              <w:jc w:val="left"/>
            </w:pPr>
            <w:r>
              <w:t xml:space="preserve">Scope 2</w:t>
            </w:r>
          </w:p>
        </w:tc>
      </w:tr>
      <w:tr>
        <w:tc>
          <w:tcPr/>
          <w:p>
            <w:pPr>
              <w:pStyle w:val="Compact"/>
              <w:jc w:val="left"/>
            </w:pPr>
            <w:r>
              <w:t xml:space="preserve">Upstream Transportation (Ocean Freight)</w:t>
            </w:r>
          </w:p>
        </w:tc>
        <w:tc>
          <w:tcPr/>
          <w:p>
            <w:pPr>
              <w:pStyle w:val="Compact"/>
              <w:jc w:val="left"/>
            </w:pPr>
            <w:r>
              <w:t xml:space="preserve">0.06</w:t>
            </w:r>
          </w:p>
        </w:tc>
        <w:tc>
          <w:tcPr/>
          <w:p>
            <w:pPr>
              <w:pStyle w:val="Compact"/>
              <w:jc w:val="left"/>
            </w:pPr>
            <w:r>
              <w:t xml:space="preserve">Scope 3 (Upstream)</w:t>
            </w:r>
          </w:p>
        </w:tc>
      </w:tr>
      <w:tr>
        <w:tc>
          <w:tcPr/>
          <w:p>
            <w:pPr>
              <w:pStyle w:val="Compact"/>
              <w:jc w:val="left"/>
            </w:pPr>
            <w:r>
              <w:t xml:space="preserve">Downstream Transportation (Road Freight)</w:t>
            </w:r>
          </w:p>
        </w:tc>
        <w:tc>
          <w:tcPr/>
          <w:p>
            <w:pPr>
              <w:pStyle w:val="Compact"/>
              <w:jc w:val="left"/>
            </w:pPr>
            <w:r>
              <w:t xml:space="preserve">0.01</w:t>
            </w:r>
          </w:p>
        </w:tc>
        <w:tc>
          <w:tcPr/>
          <w:p>
            <w:pPr>
              <w:pStyle w:val="Compact"/>
              <w:jc w:val="left"/>
            </w:pPr>
            <w:r>
              <w:t xml:space="preserve">Scope 3 (Downstream)</w:t>
            </w:r>
          </w:p>
        </w:tc>
      </w:tr>
      <w:tr>
        <w:tc>
          <w:tcPr/>
          <w:p>
            <w:pPr>
              <w:pStyle w:val="Compact"/>
              <w:jc w:val="left"/>
            </w:pPr>
            <w:r>
              <w:t xml:space="preserve">Last-Mile Delivery</w:t>
            </w:r>
          </w:p>
        </w:tc>
        <w:tc>
          <w:tcPr/>
          <w:p>
            <w:pPr>
              <w:pStyle w:val="Compact"/>
              <w:jc w:val="left"/>
            </w:pPr>
            <w:r>
              <w:t xml:space="preserve">20.00</w:t>
            </w:r>
          </w:p>
        </w:tc>
        <w:tc>
          <w:tcPr/>
          <w:p>
            <w:pPr>
              <w:pStyle w:val="Compact"/>
              <w:jc w:val="left"/>
            </w:pPr>
            <w:r>
              <w:t xml:space="preserve">Scope 3 (Downstream)</w:t>
            </w:r>
          </w:p>
        </w:tc>
      </w:tr>
      <w:tr>
        <w:tc>
          <w:tcPr/>
          <w:p>
            <w:pPr>
              <w:pStyle w:val="Compact"/>
              <w:jc w:val="left"/>
            </w:pPr>
            <w:r>
              <w:t xml:space="preserve">Use Phase</w:t>
            </w:r>
          </w:p>
        </w:tc>
        <w:tc>
          <w:tcPr/>
          <w:p>
            <w:pPr>
              <w:pStyle w:val="Compact"/>
              <w:jc w:val="left"/>
            </w:pPr>
            <w:r>
              <w:t xml:space="preserve">1.80</w:t>
            </w:r>
          </w:p>
        </w:tc>
        <w:tc>
          <w:tcPr/>
          <w:p>
            <w:pPr>
              <w:pStyle w:val="Compact"/>
              <w:jc w:val="left"/>
            </w:pPr>
            <w:r>
              <w:t xml:space="preserve">Scope 3 (Downstream)</w:t>
            </w:r>
          </w:p>
        </w:tc>
      </w:tr>
      <w:tr>
        <w:tc>
          <w:tcPr/>
          <w:p>
            <w:pPr>
              <w:pStyle w:val="Compact"/>
              <w:jc w:val="left"/>
            </w:pPr>
            <w:r>
              <w:t xml:space="preserve">End-of-Life (Net)</w:t>
            </w:r>
          </w:p>
        </w:tc>
        <w:tc>
          <w:tcPr/>
          <w:p>
            <w:pPr>
              <w:pStyle w:val="Compact"/>
              <w:jc w:val="left"/>
            </w:pPr>
            <w:r>
              <w:t xml:space="preserve">-0.32</w:t>
            </w:r>
          </w:p>
        </w:tc>
        <w:tc>
          <w:tcPr/>
          <w:p>
            <w:pPr>
              <w:pStyle w:val="Compact"/>
              <w:jc w:val="left"/>
            </w:pPr>
            <w:r>
              <w:t xml:space="preserve">Scope 3 (Downstream)</w:t>
            </w:r>
          </w:p>
        </w:tc>
      </w:tr>
    </w:tbl>
    <w:bookmarkEnd w:id="34"/>
    <w:bookmarkStart w:id="35" w:name="total-product-carbon-footprint"/>
    <w:p>
      <w:pPr>
        <w:pStyle w:val="Heading3"/>
      </w:pPr>
      <w:r>
        <w:t xml:space="preserve">4.2. Total Product Carbon Footprint</w:t>
      </w:r>
    </w:p>
    <w:p>
      <w:pPr>
        <w:pStyle w:val="FirstParagraph"/>
      </w:pPr>
      <w:r>
        <w:t xml:space="preserve">**Total PCF for one unit of ottuqtgiuu = 2.63 + 0.15 + 0.06 + 0.01 + 20.00 + 1.80 - 0.32 = 24.33 kgCO2e/unit**</w:t>
      </w:r>
    </w:p>
    <w:bookmarkEnd w:id="35"/>
    <w:bookmarkStart w:id="36" w:name="emissions-categorization-by-ghg-scope"/>
    <w:p>
      <w:pPr>
        <w:pStyle w:val="Heading3"/>
      </w:pPr>
      <w:r>
        <w:t xml:space="preserve">4.3. Emissions Categorization by GHG Scope</w:t>
      </w:r>
    </w:p>
    <w:tbl>
      <w:tblPr>
        <w:tblStyle w:val="Table"/>
        <w:tblW w:type="pct" w:w="500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GHG Scope</w:t>
            </w:r>
          </w:p>
        </w:tc>
        <w:tc>
          <w:tcPr/>
          <w:p>
            <w:pPr>
              <w:pStyle w:val="Compact"/>
              <w:jc w:val="left"/>
            </w:pPr>
            <w:r>
              <w:t xml:space="preserve">Emissions (kgCO2e/unit)</w:t>
            </w:r>
          </w:p>
        </w:tc>
        <w:tc>
          <w:tcPr/>
          <w:p>
            <w:pPr>
              <w:pStyle w:val="Compact"/>
              <w:jc w:val="left"/>
            </w:pPr>
            <w:r>
              <w:t xml:space="preserve">Percentage of Total PCF</w:t>
            </w:r>
          </w:p>
        </w:tc>
        <w:tc>
          <w:tcPr/>
          <w:p>
            <w:pPr>
              <w:pStyle w:val="Compact"/>
              <w:jc w:val="left"/>
            </w:pPr>
            <w:r>
              <w:t xml:space="preserve">GHG Protocol Categories (Examples)</w:t>
            </w:r>
          </w:p>
        </w:tc>
      </w:tr>
      <w:tr>
        <w:tc>
          <w:tcPr/>
          <w:p>
            <w:pPr>
              <w:pStyle w:val="Compact"/>
              <w:jc w:val="left"/>
            </w:pPr>
            <w:r>
              <w:t xml:space="preserve">Scope 1</w:t>
            </w:r>
          </w:p>
        </w:tc>
        <w:tc>
          <w:tcPr/>
          <w:p>
            <w:pPr>
              <w:pStyle w:val="Compact"/>
              <w:jc w:val="left"/>
            </w:pPr>
            <w:r>
              <w:t xml:space="preserve">0.00</w:t>
            </w:r>
          </w:p>
        </w:tc>
        <w:tc>
          <w:tcPr/>
          <w:p>
            <w:pPr>
              <w:pStyle w:val="Compact"/>
              <w:jc w:val="left"/>
            </w:pPr>
            <w:r>
              <w:t xml:space="preserve">0.0%</w:t>
            </w:r>
          </w:p>
        </w:tc>
        <w:tc>
          <w:tcPr/>
          <w:p>
            <w:pPr>
              <w:pStyle w:val="Compact"/>
              <w:jc w:val="left"/>
            </w:pPr>
            <w:r>
              <w:t xml:space="preserve">Direct emissions from owned/controlled sources (not quantified for this PCF)</w:t>
            </w:r>
          </w:p>
        </w:tc>
      </w:tr>
      <w:tr>
        <w:tc>
          <w:tcPr/>
          <w:p>
            <w:pPr>
              <w:pStyle w:val="Compact"/>
              <w:jc w:val="left"/>
            </w:pPr>
            <w:r>
              <w:t xml:space="preserve">Scope 2</w:t>
            </w:r>
          </w:p>
        </w:tc>
        <w:tc>
          <w:tcPr/>
          <w:p>
            <w:pPr>
              <w:pStyle w:val="Compact"/>
              <w:jc w:val="left"/>
            </w:pPr>
            <w:r>
              <w:t xml:space="preserve">0.15</w:t>
            </w:r>
          </w:p>
        </w:tc>
        <w:tc>
          <w:tcPr/>
          <w:p>
            <w:pPr>
              <w:pStyle w:val="Compact"/>
              <w:jc w:val="left"/>
            </w:pPr>
            <w:r>
              <w:t xml:space="preserve">0.6%</w:t>
            </w:r>
          </w:p>
        </w:tc>
        <w:tc>
          <w:tcPr/>
          <w:p>
            <w:pPr>
              <w:pStyle w:val="Compact"/>
              <w:jc w:val="left"/>
            </w:pPr>
            <w:r>
              <w:t xml:space="preserve">Category 3: Fuel- and energy-related activities (electricity at factory)</w:t>
            </w:r>
          </w:p>
        </w:tc>
      </w:tr>
      <w:tr>
        <w:tc>
          <w:tcPr/>
          <w:p>
            <w:pPr>
              <w:pStyle w:val="Compact"/>
              <w:jc w:val="left"/>
            </w:pPr>
            <w:r>
              <w:t xml:space="preserve">Scope 3</w:t>
            </w:r>
          </w:p>
        </w:tc>
        <w:tc>
          <w:tcPr/>
          <w:p>
            <w:pPr>
              <w:pStyle w:val="Compact"/>
              <w:jc w:val="left"/>
            </w:pPr>
            <w:r>
              <w:t xml:space="preserve">24.18</w:t>
            </w:r>
          </w:p>
        </w:tc>
        <w:tc>
          <w:tcPr/>
          <w:p>
            <w:pPr>
              <w:pStyle w:val="Compact"/>
              <w:jc w:val="left"/>
            </w:pPr>
            <w:r>
              <w:t xml:space="preserve">99.4%</w:t>
            </w:r>
          </w:p>
        </w:tc>
        <w:tc>
          <w:tcPr/>
          <w:p>
            <w:pPr>
              <w:pStyle w:val="Compact"/>
              <w:jc w:val="left"/>
            </w:pPr>
            <w:r>
              <w:t xml:space="preserve">Category 1: Purchased goods and services (materials, components)</w:t>
            </w:r>
            <w:r>
              <w:br/>
            </w:r>
            <w:r>
              <w:t xml:space="preserve">Category 4: Upstream transportation and distribution</w:t>
            </w:r>
            <w:r>
              <w:br/>
            </w:r>
            <w:r>
              <w:t xml:space="preserve">Category 9: Downstream transportation and distribution (including last-mile)</w:t>
            </w:r>
            <w:r>
              <w:br/>
            </w:r>
            <w:r>
              <w:t xml:space="preserve">Category 11: Use of sold products</w:t>
            </w:r>
            <w:r>
              <w:br/>
            </w:r>
            <w:r>
              <w:t xml:space="preserve">Category 12: End-of-life treatment of sold products</w:t>
            </w:r>
          </w:p>
        </w:tc>
      </w:tr>
      <w:tr>
        <w:tc>
          <w:tcPr/>
          <w:p>
            <w:pPr>
              <w:pStyle w:val="Compact"/>
              <w:jc w:val="left"/>
            </w:pPr>
            <w:r>
              <w:t xml:space="preserve">**Total PCF**</w:t>
            </w:r>
          </w:p>
        </w:tc>
        <w:tc>
          <w:tcPr/>
          <w:p>
            <w:pPr>
              <w:pStyle w:val="Compact"/>
              <w:jc w:val="left"/>
            </w:pPr>
            <w:r>
              <w:t xml:space="preserve">**24.33**</w:t>
            </w:r>
          </w:p>
        </w:tc>
        <w:tc>
          <w:tcPr/>
          <w:p>
            <w:pPr>
              <w:pStyle w:val="Compact"/>
              <w:jc w:val="left"/>
            </w:pPr>
            <w:r>
              <w:t xml:space="preserve">**100.0%**</w:t>
            </w:r>
          </w:p>
        </w:tc>
        <w:tc>
          <w:tcPr/>
          <w:p>
            <w:pPr>
              <w:pStyle w:val="Compact"/>
            </w:pPr>
          </w:p>
        </w:tc>
      </w:tr>
    </w:tbl>
    <w:p>
      <w:pPr>
        <w:pStyle w:val="BodyText"/>
      </w:pPr>
      <w:r>
        <w:t xml:space="preserve">As is common for manufactured products, Scope 3 emissions represent the vast majority of the product\'s carbon footprint (99.4%). This aligns with the understanding that value chain emissions are often the most significant for a company.</w:t>
      </w:r>
    </w:p>
    <w:p>
      <w:r>
        <w:pict>
          <v:rect style="width:0;height:1.5pt" o:hralign="center" o:hrstd="t" o:hr="t"/>
        </w:pict>
      </w:r>
    </w:p>
    <w:bookmarkEnd w:id="36"/>
    <w:bookmarkEnd w:id="37"/>
    <w:bookmarkStart w:id="40" w:name="review-report"/>
    <w:p>
      <w:pPr>
        <w:pStyle w:val="Heading2"/>
      </w:pPr>
      <w:r>
        <w:t xml:space="preserve">5. Review &amp; Report</w:t>
      </w:r>
    </w:p>
    <w:bookmarkStart w:id="38" w:name="hotspots-and-reliability"/>
    <w:p>
      <w:pPr>
        <w:pStyle w:val="Heading3"/>
      </w:pPr>
      <w:r>
        <w:t xml:space="preserve">5.1. Hotspots and Reliability</w:t>
      </w:r>
    </w:p>
    <w:p>
      <w:pPr>
        <w:pStyle w:val="FirstParagraph"/>
      </w:pPr>
      <w:r>
        <w:t xml:space="preserve">The analysis clearly indicates that **Last-Mile Delivery** is the most significant emission hotspot, contributing approximately 82% of the total product carbon footprint. This is primarily due to the inherent inefficiency of individual parcel deliveries over short distances compared to bulk freight. Other significant hotspots include:</w:t>
      </w:r>
    </w:p>
    <w:p>
      <w:pPr>
        <w:numPr>
          <w:ilvl w:val="0"/>
          <w:numId w:val="1011"/>
        </w:numPr>
        <w:pStyle w:val="Compact"/>
      </w:pPr>
      <w:r>
        <w:t xml:space="preserve">**Materials Acquisition &amp; Processing:** Contributes about 11% of the total PCF, with electronic components (PCB, Battery) being particularly emission-intensive due to their complex manufacturing processes.</w:t>
      </w:r>
    </w:p>
    <w:p>
      <w:pPr>
        <w:numPr>
          <w:ilvl w:val="0"/>
          <w:numId w:val="1011"/>
        </w:numPr>
        <w:pStyle w:val="Compact"/>
      </w:pPr>
      <w:r>
        <w:t xml:space="preserve">**Use Phase:** Accounts for approximately 7% of the total PCF, dependent on the electricity grid mix of the end-user.</w:t>
      </w:r>
    </w:p>
    <w:p>
      <w:pPr>
        <w:pStyle w:val="FirstParagraph"/>
      </w:pPr>
      <w:r>
        <w:t xml:space="preserve">**Reliability:** The reliability of this PCF relies on a combination of primary (specified parameters) and secondary (industry-average emission factors) data. The use of dummy data for certain parameters and generic emission factors introduces a degree of uncertainty. However, the application of established GHG Protocol methodologies ensures consistency and comparability. Future refinements should focus on acquiring primary data for the most impactful stages, particularly for last-mile delivery and specific material compositions, to improve accuracy. The 95% Scope 3 coverage target, as per 2026 GHG Protocol revisions, is largely met by including all identified upstream and downstream activities in the calculation.</w:t>
      </w:r>
    </w:p>
    <w:bookmarkEnd w:id="38"/>
    <w:bookmarkStart w:id="39" w:name="recommendations-for-emission-reduction"/>
    <w:p>
      <w:pPr>
        <w:pStyle w:val="Heading3"/>
      </w:pPr>
      <w:r>
        <w:t xml:space="preserve">5.2. Recommendations for Emission Reduction</w:t>
      </w:r>
    </w:p>
    <w:p>
      <w:pPr>
        <w:pStyle w:val="FirstParagraph"/>
      </w:pPr>
      <w:r>
        <w:t xml:space="preserve">Based on this PCF analysis, tjlftqwevq should focus on the following strategic areas to reduce the environmental impact of "ottuqtgiuu":</w:t>
      </w:r>
    </w:p>
    <w:p>
      <w:pPr>
        <w:numPr>
          <w:ilvl w:val="0"/>
          <w:numId w:val="1012"/>
        </w:numPr>
        <w:pStyle w:val="Compact"/>
      </w:pPr>
      <w:r>
        <w:t xml:space="preserve">**Optimize Last-Mile Delivery:** Investigate more efficient last-mile solutions, such as consolidating deliveries, utilizing electric vehicles, or promoting pick-up points. Partnering with logistics providers committed to low-carbon solutions is crucial.</w:t>
      </w:r>
    </w:p>
    <w:p>
      <w:pPr>
        <w:numPr>
          <w:ilvl w:val="0"/>
          <w:numId w:val="1012"/>
        </w:numPr>
        <w:pStyle w:val="Compact"/>
      </w:pPr>
      <w:r>
        <w:t xml:space="preserve">**Sustainable Material Sourcing:** Explore opportunities to use lower-carbon alternative materials, increase recycled content in plastics and metals, or engage with suppliers to reduce the footprint of high-impact components like PCBs and batteries.</w:t>
      </w:r>
    </w:p>
    <w:p>
      <w:pPr>
        <w:numPr>
          <w:ilvl w:val="0"/>
          <w:numId w:val="1012"/>
        </w:numPr>
        <w:pStyle w:val="Compact"/>
      </w:pPr>
      <w:r>
        <w:t xml:space="preserve">**Enhance Circularity:** Strengthen existing circular/take-back programs [gjtduztwzy] and explore product design for even higher recyclability [jvjirdvwmj] or extended product lifespan. This could further increase end-of-life credits or reduce the need for new production.</w:t>
      </w:r>
    </w:p>
    <w:p>
      <w:pPr>
        <w:numPr>
          <w:ilvl w:val="0"/>
          <w:numId w:val="1012"/>
        </w:numPr>
        <w:pStyle w:val="Compact"/>
      </w:pPr>
      <w:r>
        <w:t xml:space="preserve">**Renewable Energy Integration:** While 50% renewable energy is already used in manufacturing, further increasing this percentage to 100% will eliminate the Scope 2 emissions and demonstrate leadership in sustainable production.</w:t>
      </w:r>
    </w:p>
    <w:p>
      <w:pPr>
        <w:numPr>
          <w:ilvl w:val="0"/>
          <w:numId w:val="1012"/>
        </w:numPr>
        <w:pStyle w:val="Compact"/>
      </w:pPr>
      <w:r>
        <w:t xml:space="preserve">**Customer Engagement for Use Phase:** Educate consumers on energy-efficient usage patterns and promote the proper disposal and recycling channels for the product.</w:t>
      </w:r>
    </w:p>
    <w:p>
      <w:pPr>
        <w:pStyle w:val="FirstParagraph"/>
      </w:pPr>
      <w:r>
        <w:t xml:space="preserve">This report provides a foundational understanding of the carbon footprint of "ottuqtgiuu." Continuous monitoring, data refinement, and strategic interventions will be key to achieving tjlftqwevq\'s sustainability goals.</w:t>
      </w:r>
    </w:p>
    <w:p>
      <w:pPr>
        <w:pStyle w:val="BodyText"/>
      </w:pPr>
      <w:r>
        <w:t xml:space="preserve">Confidential - Internal Use Only</w:t>
      </w:r>
    </w:p>
    <w:bookmarkEnd w:id="39"/>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ottuqtgiuu</dc:title>
  <dc:creator/>
  <dc:description>High-detail Product Carbon Footprint (PCF) analysis for ottuqtgiuu by kpdshthghw, Senior Sustainability Consultant at tjlftqwevq, adhering to GHG Protocol including 2026 LSR Update and 95% Scope 3 coverage.</dc:description>
  <dc:language>en</dc:language>
  <cp:keywords/>
  <dcterms:created xsi:type="dcterms:W3CDTF">2026-07-15T02:54:53Z</dcterms:created>
  <dcterms:modified xsi:type="dcterms:W3CDTF">2026-07-15T02:54:53Z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