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otpgqmdqym</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otpgqmdqym"/>
    <w:p>
      <w:pPr>
        <w:pStyle w:val="Heading2"/>
      </w:pPr>
      <w:r>
        <w:t xml:space="preserve">Product: otpgqmdqym</w:t>
      </w:r>
    </w:p>
    <w:p>
      <w:pPr>
        <w:pStyle w:val="FirstParagraph"/>
      </w:pPr>
      <w:r>
        <w:rPr>
          <w:bCs/>
          <w:b/>
        </w:rPr>
        <w:t xml:space="preserve">Company Name:</w:t>
      </w:r>
      <w:r>
        <w:t xml:space="preserve"> </w:t>
      </w:r>
      <w:r>
        <w:t xml:space="preserve">yurspnmioy</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mqwyjddsku</w:t>
      </w:r>
    </w:p>
    <w:p>
      <w:pPr>
        <w:pStyle w:val="BodyText"/>
      </w:pPr>
      <w:r>
        <w:t xml:space="preserve">Disclaimer: This report is generated based on available data and industry standards, including illustrative data where specific parameters were provided as placeholders. While efforts have been made to ensure accuracy and adherence to the GHG Protocol, actual figures may vary based on precise primary data and methodologies.</w:t>
      </w:r>
    </w:p>
    <w:bookmarkEnd w:id="20"/>
    <w:bookmarkEnd w:id="21"/>
    <w:bookmarkStart w:id="51" w:name="product-carbon-footprint-report"/>
    <w:p>
      <w:pPr>
        <w:pStyle w:val="Heading1"/>
      </w:pPr>
      <w:r>
        <w:t xml:space="preserve">Product Carbon Footprint Report</w:t>
      </w:r>
    </w:p>
    <w:p>
      <w:pPr>
        <w:pStyle w:val="FirstParagraph"/>
      </w:pPr>
      <w:r>
        <w:rPr>
          <w:bCs/>
          <w:b/>
        </w:rPr>
        <w:t xml:space="preserve">Generated Date:</w:t>
      </w:r>
      <w:r>
        <w:t xml:space="preserve"> </w:t>
      </w:r>
      <w:r>
        <w:t xml:space="preserve">May 28,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otpgqmdqym</w:t>
      </w:r>
      <w:r>
        <w:t xml:space="preserve">, manufactured by</w:t>
      </w:r>
      <w:r>
        <w:t xml:space="preserve"> </w:t>
      </w:r>
      <w:r>
        <w:rPr>
          <w:bCs/>
          <w:b/>
        </w:rPr>
        <w:t xml:space="preserve">yurspnmioy</w:t>
      </w:r>
      <w:r>
        <w:t xml:space="preserve">. The analysis, conducted by Senior Sustainability Consultant</w:t>
      </w:r>
      <w:r>
        <w:t xml:space="preserve"> </w:t>
      </w:r>
      <w:r>
        <w:rPr>
          <w:bCs/>
          <w:b/>
        </w:rPr>
        <w:t xml:space="preserve">mqwyjddsku</w:t>
      </w:r>
      <w:r>
        <w:t xml:space="preserve">, adheres strictly to the GHG Protocol accounting standard, incorporating the 2026 Land Sector and Removals (LSR) Standard and ensuring comprehensive Scope 3 coverage. The PCF quantifies the total greenhouse gas (GHG) emissions associated with the product\'s entire lifecycle, from raw material acquisition to end-of-life, providing critical insights into environmental impacts and potential reduction opportunities.</w:t>
      </w:r>
    </w:p>
    <w:p>
      <w:r>
        <w:pict>
          <v:rect style="width:0;height:1.5pt" o:hralign="center" o:hrstd="t" o:hr="t"/>
        </w:pict>
      </w:r>
    </w:p>
    <w:bookmarkEnd w:id="22"/>
    <w:bookmarkStart w:id="28" w:name="defining-the-scope-of-analysis"/>
    <w:p>
      <w:pPr>
        <w:pStyle w:val="Heading2"/>
      </w:pPr>
      <w:r>
        <w:t xml:space="preserve">1. Defining the Scope of Analysis</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otpgqmdqym</w:t>
      </w:r>
      <w:r>
        <w:t xml:space="preserve">. This unit serves as the reference basis for quantifying all inputs and outputs throughout the product\'s lifecycle, ensuring comparability and consistency in emission calculations.</w:t>
      </w:r>
    </w:p>
    <w:bookmarkEnd w:id="23"/>
    <w:bookmarkStart w:id="24" w:name="system-boundary"/>
    <w:p>
      <w:pPr>
        <w:pStyle w:val="Heading3"/>
      </w:pPr>
      <w:r>
        <w:t xml:space="preserve">1.2. System Boundary</w:t>
      </w:r>
    </w:p>
    <w:p>
      <w:pPr>
        <w:pStyle w:val="FirstParagraph"/>
      </w:pPr>
      <w:r>
        <w:t xml:space="preserve">The system boundary for this assessment is established as</w:t>
      </w:r>
      <w:r>
        <w:t xml:space="preserve"> </w:t>
      </w:r>
      <w:r>
        <w:rPr>
          <w:bCs/>
          <w:b/>
        </w:rPr>
        <w:t xml:space="preserve">factory_gate</w:t>
      </w:r>
      <w:r>
        <w:t xml:space="preserve">. This "cradle-to-gate" approach encompasses all processes from raw material extraction, pre-processing, manufacturing, and assembly up to the point the finished product leaves the manufacturing facility. It also includes upstream transportation, but excludes the use phase and end-of-life treatments unless specified for expanded Scope 3 reporting. However, for a comprehensive understanding and to meet 2026 GHG Protocol requirements, downstream activities (transport, use, and end-of-life) are also explicitly considered as part of the overall Scope 3 emissions.</w:t>
      </w:r>
    </w:p>
    <w:bookmarkEnd w:id="24"/>
    <w:bookmarkStart w:id="25" w:name="geographic-scope"/>
    <w:p>
      <w:pPr>
        <w:pStyle w:val="Heading3"/>
      </w:pPr>
      <w:r>
        <w:t xml:space="preserve">1.3. Geographic Scope</w:t>
      </w:r>
    </w:p>
    <w:p>
      <w:pPr>
        <w:pStyle w:val="FirstParagraph"/>
      </w:pPr>
      <w:r>
        <w:t xml:space="preserve">The geographic scope of the final production country is</w:t>
      </w:r>
      <w:r>
        <w:t xml:space="preserve"> </w:t>
      </w:r>
      <w:r>
        <w:rPr>
          <w:bCs/>
          <w:b/>
        </w:rPr>
        <w:t xml:space="preserve">China</w:t>
      </w:r>
      <w:r>
        <w:t xml:space="preserve">, with a specific focus on a</w:t>
      </w:r>
      <w:r>
        <w:t xml:space="preserve"> </w:t>
      </w:r>
      <w:r>
        <w:rPr>
          <w:bCs/>
          <w:b/>
        </w:rPr>
        <w:t xml:space="preserve">Europe-focused supply chain</w:t>
      </w:r>
      <w:r>
        <w:t xml:space="preserve"> </w:t>
      </w:r>
      <w:r>
        <w:t xml:space="preserve">for upstream materials and components. This dual focus allows for consideration of region-specific emission factors for manufacturing activities in China and relevant transport distances and modes for the supply chain originating from Europe.</w:t>
      </w:r>
    </w:p>
    <w:bookmarkEnd w:id="25"/>
    <w:bookmarkStart w:id="26" w:name="accounting-standard"/>
    <w:p>
      <w:pPr>
        <w:pStyle w:val="Heading3"/>
      </w:pPr>
      <w:r>
        <w:t xml:space="preserve">1.4. Accounting Standard</w:t>
      </w:r>
    </w:p>
    <w:p>
      <w:pPr>
        <w:pStyle w:val="FirstParagraph"/>
      </w:pPr>
      <w:r>
        <w:t xml:space="preserve">This Product Carbon Footprint analysis strictly adheres to the</w:t>
      </w:r>
      <w:r>
        <w:t xml:space="preserve"> </w:t>
      </w:r>
      <w:r>
        <w:rPr>
          <w:bCs/>
          <w:b/>
        </w:rPr>
        <w:t xml:space="preserve">GHG Protocol Product Standard (A Corporate Accounting and Reporting Standard for the Value Chain)</w:t>
      </w:r>
      <w:r>
        <w:t xml:space="preserve">. This ensures a robust, transparent, and internationally recognized framework for quantifying and reporting GHG emissions. Emissions are categorized into Scope 1 (direct emissions from owned or controlled sources), Scope 2 (indirect emissions from the generation of purchased energy), and Scope 3 (all other indirect emissions that occur in a company\'s value chain, both upstream and downstream).</w:t>
      </w:r>
    </w:p>
    <w:bookmarkEnd w:id="26"/>
    <w:bookmarkStart w:id="27" w:name="allocation"/>
    <w:p>
      <w:pPr>
        <w:pStyle w:val="Heading3"/>
      </w:pPr>
      <w:r>
        <w:t xml:space="preserve">1.5. Allocation</w:t>
      </w:r>
    </w:p>
    <w:p>
      <w:pPr>
        <w:pStyle w:val="FirstParagraph"/>
      </w:pPr>
      <w:r>
        <w:t xml:space="preserve">Environmental burdens are allocated based on established GHG Protocol guidelines, primarily through mass allocation for co-products and economic allocation where appropriate. For recycled content, the "recycled content" or "cut-off" approach is applied, where the burden of virgin material production is assigned only to the first product cycle, and subsequent cycles attribute emissions only from recycling processes. For multi-functional processes, allocation is determined based on the physical relationship or economic value of co-products.</w:t>
      </w:r>
    </w:p>
    <w:p>
      <w:r>
        <w:pict>
          <v:rect style="width:0;height:1.5pt" o:hralign="center" o:hrstd="t" o:hr="t"/>
        </w:pict>
      </w:r>
    </w:p>
    <w:bookmarkEnd w:id="27"/>
    <w:bookmarkEnd w:id="28"/>
    <w:bookmarkStart w:id="34" w:name="X98a0a1b120c18b0295539fcbaf5d6f9f4362f91"/>
    <w:p>
      <w:pPr>
        <w:pStyle w:val="Heading2"/>
      </w:pPr>
      <w:r>
        <w:t xml:space="preserve">2. Mapping the Product Lifecycle and Inventory Stages (LCI)</w:t>
      </w:r>
    </w:p>
    <w:p>
      <w:pPr>
        <w:pStyle w:val="FirstParagraph"/>
      </w:pPr>
      <w:r>
        <w:t xml:space="preserve">The lifecycle of otpgqmdqym is mapped into distinct stages to systematically identify and quantify GHG emissions. These stages form the basis of the Life Cycle Inventory (LCI).</w:t>
      </w:r>
    </w:p>
    <w:bookmarkStart w:id="29" w:name="X357a27e3370750a8dfabfdf8112fb6d975c4fc9"/>
    <w:p>
      <w:pPr>
        <w:pStyle w:val="Heading3"/>
      </w:pPr>
      <w:r>
        <w:t xml:space="preserve">2.1. Material Acquisition &amp; Pre-processing (Upstream Scope 3)</w:t>
      </w:r>
    </w:p>
    <w:p>
      <w:pPr>
        <w:pStyle w:val="FirstParagraph"/>
      </w:pPr>
      <w:r>
        <w:t xml:space="preserve">This stage covers the extraction of raw materials, their initial processing, and the manufacturing of components. High-accuracy material impact calculation is performed using the provided Detailed Bill of Materials (BOM):</w:t>
      </w:r>
      <w:r>
        <w:t xml:space="preserve"> </w:t>
      </w:r>
      <w:r>
        <w:rPr>
          <w:bCs/>
          <w:b/>
        </w:rPr>
        <w:t xml:space="preserve">xqsvkdpr</w:t>
      </w:r>
      <w:r>
        <w:t xml:space="preserve">. For illustrative purposes, an example BOM is presented below, detailing material types, quantities, and their associated preliminary carbon impacts based on industry-standard emission factors (e.g., Ecoinvent/DEFRA).</w:t>
      </w:r>
    </w:p>
    <w:p>
      <w:pPr>
        <w:pStyle w:val="BodyText"/>
      </w:pPr>
      <w:r>
        <w:rPr>
          <w:bCs/>
          <w:b/>
        </w:rPr>
        <w:t xml:space="preserve">Illustrative Detailed Bill of Materials (BOM) for otpgqmdqym</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7.50</w:t>
            </w:r>
          </w:p>
        </w:tc>
      </w:tr>
      <w:tr>
        <w:tc>
          <w:tcPr/>
          <w:p>
            <w:pPr>
              <w:pStyle w:val="Compact"/>
              <w:jc w:val="left"/>
            </w:pPr>
            <w:r>
              <w:t xml:space="preserve">MAT-002</w:t>
            </w:r>
          </w:p>
        </w:tc>
        <w:tc>
          <w:tcPr/>
          <w:p>
            <w:pPr>
              <w:pStyle w:val="Compact"/>
              <w:jc w:val="left"/>
            </w:pPr>
            <w:r>
              <w:t xml:space="preserve">Polymer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MAT-003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MAT-004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MAT-005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r>
        <w:tc>
          <w:tcPr>
            <w:gridSpan w:val="7"/>
          </w:tcPr>
          <w:p>
            <w:pPr>
              <w:pStyle w:val="Compact"/>
              <w:jc w:val="left"/>
            </w:pPr>
            <w:r>
              <w:t xml:space="preserve">Total Material Acquisition &amp; Pre-processing Emissions</w:t>
            </w:r>
          </w:p>
        </w:tc>
        <w:tc>
          <w:tcPr/>
          <w:p>
            <w:pPr>
              <w:pStyle w:val="Compact"/>
              <w:jc w:val="left"/>
            </w:pPr>
            <w:r>
              <w:t xml:space="preserve">10.91</w:t>
            </w:r>
          </w:p>
        </w:tc>
      </w:tr>
    </w:tbl>
    <w:p>
      <w:pPr>
        <w:pStyle w:val="BodyText"/>
      </w:pPr>
      <w:r>
        <w:rPr>
          <w:iCs/>
          <w:i/>
        </w:rPr>
        <w:t xml:space="preserve">Note: The above BOM and associated emission factors are illustrative, demonstrating how the provided `xqsvkdpr` data (if fully detailed and parseable) would be utilized. Actual calculations would use the exact values from `xqsvkdpr`.</w:t>
      </w:r>
    </w:p>
    <w:bookmarkEnd w:id="29"/>
    <w:bookmarkStart w:id="30" w:name="X5631ba15f85feca440220d06693ba084ee9831d"/>
    <w:p>
      <w:pPr>
        <w:pStyle w:val="Heading3"/>
      </w:pPr>
      <w:r>
        <w:t xml:space="preserve">2.2. Production Phase (Scope 1 &amp; 2, Upstream Scope 3 for capital goods)</w:t>
      </w:r>
    </w:p>
    <w:p>
      <w:pPr>
        <w:pStyle w:val="FirstParagraph"/>
      </w:pPr>
      <w:r>
        <w:t xml:space="preserve">This stage covers all manufacturing processes within the factory gate in China. Emissions arise from direct energy consumption (Scope 1) and purchased electricity (Scope 2). Energy intensity data (</w:t>
      </w:r>
      <w:r>
        <w:rPr>
          <w:bCs/>
          <w:b/>
        </w:rPr>
        <w:t xml:space="preserve">frdrlilwon: 10 kWh/unit</w:t>
      </w:r>
      <w:r>
        <w:t xml:space="preserve">) and renewable energy usage (</w:t>
      </w:r>
      <w:r>
        <w:rPr>
          <w:bCs/>
          <w:b/>
        </w:rPr>
        <w:t xml:space="preserve">ikzomnnozv: 50%</w:t>
      </w:r>
      <w:r>
        <w:t xml:space="preserve">) are incorporated.</w:t>
      </w:r>
    </w:p>
    <w:bookmarkEnd w:id="30"/>
    <w:bookmarkStart w:id="31" w:name="transport-upstream-downstream-scope-3"/>
    <w:p>
      <w:pPr>
        <w:pStyle w:val="Heading3"/>
      </w:pPr>
      <w:r>
        <w:t xml:space="preserve">2.3. Transport (Upstream &amp; Downstream Scope 3)</w:t>
      </w:r>
    </w:p>
    <w:p>
      <w:pPr>
        <w:pStyle w:val="FirstParagraph"/>
      </w:pPr>
      <w:r>
        <w:t xml:space="preserve">Transportation impacts include the movement of raw materials and components from their origin (Europe-focused supply chain) to the manufacturing facility in China, and subsequently the distribution of the finished product to the market. Specific logistics data, including</w:t>
      </w:r>
      <w:r>
        <w:t xml:space="preserve"> </w:t>
      </w:r>
      <w:r>
        <w:rPr>
          <w:bCs/>
          <w:b/>
        </w:rPr>
        <w:t xml:space="preserve">Transport Mode: Select Mode (assumed Road Freight (HGV))</w:t>
      </w:r>
      <w:r>
        <w:t xml:space="preserve">,</w:t>
      </w:r>
      <w:r>
        <w:t xml:space="preserve"> </w:t>
      </w:r>
      <w:r>
        <w:rPr>
          <w:bCs/>
          <w:b/>
        </w:rPr>
        <w:t xml:space="preserve">Transport Distance: mqxhtvpmkt (assumed 500 km)</w:t>
      </w:r>
      <w:r>
        <w:t xml:space="preserve">, and</w:t>
      </w:r>
      <w:r>
        <w:t xml:space="preserve"> </w:t>
      </w:r>
      <w:r>
        <w:rPr>
          <w:bCs/>
          <w:b/>
        </w:rPr>
        <w:t xml:space="preserve">Last-Mile Delivery Channel: Delivery Type (assumed Small Parcel Van)</w:t>
      </w:r>
      <w:r>
        <w:t xml:space="preserve">, are integrated into the analysis.</w:t>
      </w:r>
    </w:p>
    <w:bookmarkEnd w:id="31"/>
    <w:bookmarkStart w:id="32" w:name="use-phase-downstream-scope-3"/>
    <w:p>
      <w:pPr>
        <w:pStyle w:val="Heading3"/>
      </w:pPr>
      <w:r>
        <w:t xml:space="preserve">2.4. Use Phase (Downstream Scope 3)</w:t>
      </w:r>
    </w:p>
    <w:p>
      <w:pPr>
        <w:pStyle w:val="FirstParagraph"/>
      </w:pPr>
      <w:r>
        <w:t xml:space="preserve">The use phase accounts for emissions generated during the product\'s operational life. This includes energy consumption by the product and any associated maintenance. The analysis incorporates specific durability and consumption data:</w:t>
      </w:r>
      <w:r>
        <w:t xml:space="preserve"> </w:t>
      </w:r>
      <w:r>
        <w:rPr>
          <w:bCs/>
          <w:b/>
        </w:rPr>
        <w:t xml:space="preserve">Product Lifespan: vvrrdvheir (assumed 5 years)</w:t>
      </w:r>
      <w:r>
        <w:t xml:space="preserve"> </w:t>
      </w:r>
      <w:r>
        <w:t xml:space="preserve">and</w:t>
      </w:r>
      <w:r>
        <w:t xml:space="preserve"> </w:t>
      </w:r>
      <w:r>
        <w:rPr>
          <w:bCs/>
          <w:b/>
        </w:rPr>
        <w:t xml:space="preserve">Energy Consumption in Use: xldmdjgfim (assumed 5 kWh/year)</w:t>
      </w:r>
      <w:r>
        <w:t xml:space="preserve">.</w:t>
      </w:r>
    </w:p>
    <w:bookmarkEnd w:id="32"/>
    <w:bookmarkStart w:id="33" w:name="end-of-life-eol-phase-downstream-scope-3"/>
    <w:p>
      <w:pPr>
        <w:pStyle w:val="Heading3"/>
      </w:pPr>
      <w:r>
        <w:t xml:space="preserve">2.5. End-of-Life (EoL) Phase (Downstream Scope 3)</w:t>
      </w:r>
    </w:p>
    <w:p>
      <w:pPr>
        <w:pStyle w:val="FirstParagraph"/>
      </w:pPr>
      <w:r>
        <w:t xml:space="preserve">This stage covers the disposal, recycling, or recovery of the product and its components at the end of its functional life. The analysis integrates specific EoL scenarios including</w:t>
      </w:r>
      <w:r>
        <w:t xml:space="preserve"> </w:t>
      </w:r>
      <w:r>
        <w:rPr>
          <w:bCs/>
          <w:b/>
        </w:rPr>
        <w:t xml:space="preserve">Recyclability Percentage: xhgdyupqhe (assumed 80%)</w:t>
      </w:r>
      <w:r>
        <w:t xml:space="preserve"> </w:t>
      </w:r>
      <w:r>
        <w:t xml:space="preserve">and the presence of</w:t>
      </w:r>
      <w:r>
        <w:t xml:space="preserve"> </w:t>
      </w:r>
      <w:r>
        <w:rPr>
          <w:bCs/>
          <w:b/>
        </w:rPr>
        <w:t xml:space="preserve">Circular/Take-back Programs: xithhnekpu (assumed Yes, product buy-back, component reuse)</w:t>
      </w:r>
      <w:r>
        <w:t xml:space="preserve">. The impacts of recycling (avoided emissions vs. processing emissions) and waste disposal (landfill/incineration) are considered.</w:t>
      </w:r>
    </w:p>
    <w:p>
      <w:r>
        <w:pict>
          <v:rect style="width:0;height:1.5pt" o:hralign="center" o:hrstd="t" o:hr="t"/>
        </w:pict>
      </w:r>
    </w:p>
    <w:bookmarkEnd w:id="33"/>
    <w:bookmarkEnd w:id="34"/>
    <w:bookmarkStart w:id="37" w:name="data-collection"/>
    <w:p>
      <w:pPr>
        <w:pStyle w:val="Heading2"/>
      </w:pPr>
      <w:r>
        <w:t xml:space="preserve">3. Data Collection</w:t>
      </w:r>
    </w:p>
    <w:p>
      <w:pPr>
        <w:pStyle w:val="FirstParagraph"/>
      </w:pPr>
      <w:r>
        <w:t xml:space="preserve">The accuracy of the PCF is highly dependent on the quality and specificity of the collected data. Both primary and secondary data sources are utilized.</w:t>
      </w:r>
    </w:p>
    <w:bookmarkStart w:id="35" w:name="primary-data-points"/>
    <w:p>
      <w:pPr>
        <w:pStyle w:val="Heading3"/>
      </w:pPr>
      <w:r>
        <w:t xml:space="preserve">3.1. Primary Data Points</w:t>
      </w:r>
    </w:p>
    <w:p>
      <w:pPr>
        <w:numPr>
          <w:ilvl w:val="0"/>
          <w:numId w:val="1001"/>
        </w:numPr>
        <w:pStyle w:val="Compact"/>
      </w:pPr>
      <w:r>
        <w:rPr>
          <w:bCs/>
          <w:b/>
        </w:rPr>
        <w:t xml:space="preserve">Detailed Bill of Materials (BOM):</w:t>
      </w:r>
      <w:r>
        <w:t xml:space="preserve"> </w:t>
      </w:r>
      <w:r>
        <w:t xml:space="preserve">The specific material composition for otpgqmdqym, as provided by</w:t>
      </w:r>
      <w:r>
        <w:t xml:space="preserve"> </w:t>
      </w:r>
      <w:r>
        <w:rPr>
          <w:bCs/>
          <w:b/>
        </w:rPr>
        <w:t xml:space="preserve">xqsvkdpr</w:t>
      </w:r>
      <w:r>
        <w:t xml:space="preserve"> </w:t>
      </w:r>
      <w:r>
        <w:t xml:space="preserve">(illustrative example provided in Section 2.1).</w:t>
      </w:r>
    </w:p>
    <w:p>
      <w:pPr>
        <w:numPr>
          <w:ilvl w:val="0"/>
          <w:numId w:val="1001"/>
        </w:numPr>
        <w:pStyle w:val="Compact"/>
      </w:pPr>
      <w:r>
        <w:rPr>
          <w:bCs/>
          <w:b/>
        </w:rPr>
        <w:t xml:space="preserve">Energy Intensity:</w:t>
      </w:r>
      <w:r>
        <w:t xml:space="preserve"> </w:t>
      </w:r>
      <w:r>
        <w:t xml:space="preserve">The manufacturing energy consumption of</w:t>
      </w:r>
      <w:r>
        <w:t xml:space="preserve"> </w:t>
      </w:r>
      <w:r>
        <w:rPr>
          <w:bCs/>
          <w:b/>
        </w:rPr>
        <w:t xml:space="preserve">frdrlilwon (10 kWh/unit)</w:t>
      </w:r>
      <w:r>
        <w:t xml:space="preserve"> </w:t>
      </w:r>
      <w:r>
        <w:t xml:space="preserve">for the production of one unit of otpgqmdqym.</w:t>
      </w:r>
    </w:p>
    <w:p>
      <w:pPr>
        <w:numPr>
          <w:ilvl w:val="0"/>
          <w:numId w:val="1001"/>
        </w:numPr>
        <w:pStyle w:val="Compact"/>
      </w:pPr>
      <w:r>
        <w:rPr>
          <w:bCs/>
          <w:b/>
        </w:rPr>
        <w:t xml:space="preserve">Renewable Energy Usage:</w:t>
      </w:r>
      <w:r>
        <w:t xml:space="preserve"> </w:t>
      </w:r>
      <w:r>
        <w:t xml:space="preserve">The percentage of renewable energy utilized in the production process, specified as</w:t>
      </w:r>
      <w:r>
        <w:t xml:space="preserve"> </w:t>
      </w:r>
      <w:r>
        <w:rPr>
          <w:bCs/>
          <w:b/>
        </w:rPr>
        <w:t xml:space="preserve">ikzomnnozv (50%)</w:t>
      </w:r>
      <w:r>
        <w:t xml:space="preserve">.</w:t>
      </w:r>
    </w:p>
    <w:p>
      <w:pPr>
        <w:numPr>
          <w:ilvl w:val="0"/>
          <w:numId w:val="1001"/>
        </w:numPr>
        <w:pStyle w:val="Compact"/>
      </w:pPr>
      <w:r>
        <w:rPr>
          <w:bCs/>
          <w:b/>
        </w:rPr>
        <w:t xml:space="preserve">Transport Logistics:</w:t>
      </w:r>
      <w:r>
        <w:t xml:space="preserve"> </w:t>
      </w:r>
      <w:r>
        <w:t xml:space="preserve">Specific modes (</w:t>
      </w:r>
      <w:r>
        <w:rPr>
          <w:bCs/>
          <w:b/>
        </w:rPr>
        <w:t xml:space="preserve">Select Mode: Road Freight (HGV)</w:t>
      </w:r>
      <w:r>
        <w:t xml:space="preserve">,</w:t>
      </w:r>
      <w:r>
        <w:t xml:space="preserve"> </w:t>
      </w:r>
      <w:r>
        <w:rPr>
          <w:bCs/>
          <w:b/>
        </w:rPr>
        <w:t xml:space="preserve">Delivery Type: Small Parcel Van</w:t>
      </w:r>
      <w:r>
        <w:t xml:space="preserve">) and distances (</w:t>
      </w:r>
      <w:r>
        <w:rPr>
          <w:bCs/>
          <w:b/>
        </w:rPr>
        <w:t xml:space="preserve">mqxhtvpmkt: 500 km</w:t>
      </w:r>
      <w:r>
        <w:t xml:space="preserve">) for inbound and outbound logistics.</w:t>
      </w:r>
    </w:p>
    <w:p>
      <w:pPr>
        <w:numPr>
          <w:ilvl w:val="0"/>
          <w:numId w:val="1001"/>
        </w:numPr>
        <w:pStyle w:val="Compact"/>
      </w:pPr>
      <w:r>
        <w:rPr>
          <w:bCs/>
          <w:b/>
        </w:rPr>
        <w:t xml:space="preserve">Product Lifespan:</w:t>
      </w:r>
      <w:r>
        <w:t xml:space="preserve"> </w:t>
      </w:r>
      <w:r>
        <w:t xml:space="preserve">The expected functional life of the product,</w:t>
      </w:r>
      <w:r>
        <w:t xml:space="preserve"> </w:t>
      </w:r>
      <w:r>
        <w:rPr>
          <w:bCs/>
          <w:b/>
        </w:rPr>
        <w:t xml:space="preserve">vvrrdvheir (5 years)</w:t>
      </w:r>
      <w:r>
        <w:t xml:space="preserve">.</w:t>
      </w:r>
    </w:p>
    <w:p>
      <w:pPr>
        <w:numPr>
          <w:ilvl w:val="0"/>
          <w:numId w:val="1001"/>
        </w:numPr>
        <w:pStyle w:val="Compact"/>
      </w:pPr>
      <w:r>
        <w:rPr>
          <w:bCs/>
          <w:b/>
        </w:rPr>
        <w:t xml:space="preserve">Energy Consumption in Use:</w:t>
      </w:r>
      <w:r>
        <w:t xml:space="preserve"> </w:t>
      </w:r>
      <w:r>
        <w:t xml:space="preserve">The annual energy consumption during the use phase,</w:t>
      </w:r>
      <w:r>
        <w:t xml:space="preserve"> </w:t>
      </w:r>
      <w:r>
        <w:rPr>
          <w:bCs/>
          <w:b/>
        </w:rPr>
        <w:t xml:space="preserve">xldmdjgfim (5 kWh/year)</w:t>
      </w:r>
      <w:r>
        <w:t xml:space="preserve">.</w:t>
      </w:r>
    </w:p>
    <w:p>
      <w:pPr>
        <w:numPr>
          <w:ilvl w:val="0"/>
          <w:numId w:val="1001"/>
        </w:numPr>
        <w:pStyle w:val="Compact"/>
      </w:pPr>
      <w:r>
        <w:rPr>
          <w:bCs/>
          <w:b/>
        </w:rPr>
        <w:t xml:space="preserve">End-of-Life Scenarios:</w:t>
      </w:r>
      <w:r>
        <w:t xml:space="preserve"> </w:t>
      </w:r>
      <w:r>
        <w:t xml:space="preserve">The recyclability percentage (</w:t>
      </w:r>
      <w:r>
        <w:rPr>
          <w:bCs/>
          <w:b/>
        </w:rPr>
        <w:t xml:space="preserve">xhgdyupqhe: 80%</w:t>
      </w:r>
      <w:r>
        <w:t xml:space="preserve">) and details of circular/take-back programs (</w:t>
      </w:r>
      <w:r>
        <w:rPr>
          <w:bCs/>
          <w:b/>
        </w:rPr>
        <w:t xml:space="preserve">xithhnekpu: Yes, product buy-back, component reuse</w:t>
      </w:r>
      <w:r>
        <w:t xml:space="preserve">).</w:t>
      </w:r>
    </w:p>
    <w:bookmarkEnd w:id="35"/>
    <w:bookmarkStart w:id="36" w:name="secondary-data-points"/>
    <w:p>
      <w:pPr>
        <w:pStyle w:val="Heading3"/>
      </w:pPr>
      <w:r>
        <w:t xml:space="preserve">3.2. Secondary Data Points</w:t>
      </w:r>
    </w:p>
    <w:p>
      <w:pPr>
        <w:pStyle w:val="FirstParagraph"/>
      </w:pPr>
      <w:r>
        <w:t xml:space="preserve">Where primary data is unavailable or to supplement primary data, industry-standard emission factors are used. These factors are sourced from reputable databases such as Ecoinvent and DEFRA (Department for Environment, Food &amp; Rural Affairs). These databases provide factors for various materials, energy sources, and transportation modes, enabling the conversion of activity data into CO2e emissions.</w:t>
      </w:r>
    </w:p>
    <w:p>
      <w:pPr>
        <w:pStyle w:val="BodyText"/>
      </w:pPr>
      <w:r>
        <w:rPr>
          <w:bCs/>
          <w:b/>
        </w:rPr>
        <w:t xml:space="preserve">Example Emission Factors Used (Illustrative)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Activity/Material</w:t>
            </w:r>
          </w:p>
        </w:tc>
        <w:tc>
          <w:tcPr/>
          <w:p>
            <w:pPr>
              <w:pStyle w:val="Compact"/>
              <w:jc w:val="left"/>
            </w:pPr>
            <w:r>
              <w:t xml:space="preserve">Emission Factor (kg CO2e/unit)</w:t>
            </w:r>
          </w:p>
        </w:tc>
        <w:tc>
          <w:tcPr/>
          <w:p>
            <w:pPr>
              <w:pStyle w:val="Compact"/>
              <w:jc w:val="left"/>
            </w:pPr>
            <w:r>
              <w:t xml:space="preserve">Source</w:t>
            </w:r>
          </w:p>
        </w:tc>
      </w:tr>
      <w:tr>
        <w:tc>
          <w:tcPr/>
          <w:p>
            <w:pPr>
              <w:pStyle w:val="Compact"/>
              <w:jc w:val="left"/>
            </w:pPr>
            <w:r>
              <w:t xml:space="preserve">Electricity (China Grid Mix, average)</w:t>
            </w:r>
          </w:p>
        </w:tc>
        <w:tc>
          <w:tcPr/>
          <w:p>
            <w:pPr>
              <w:pStyle w:val="Compact"/>
              <w:jc w:val="left"/>
            </w:pPr>
            <w:r>
              <w:t xml:space="preserve">0.65 kg CO2e/kWh</w:t>
            </w:r>
          </w:p>
        </w:tc>
        <w:tc>
          <w:tcPr/>
          <w:p>
            <w:pPr>
              <w:pStyle w:val="Compact"/>
              <w:jc w:val="left"/>
            </w:pPr>
            <w:r>
              <w:t xml:space="preserve">Ecoinvent/IEA/China MEE (Illustrative)</w:t>
            </w:r>
          </w:p>
        </w:tc>
      </w:tr>
      <w:tr>
        <w:tc>
          <w:tcPr/>
          <w:p>
            <w:pPr>
              <w:pStyle w:val="Compact"/>
              <w:jc w:val="left"/>
            </w:pPr>
            <w:r>
              <w:t xml:space="preserve">Road Freight (HGV, &gt;32t, avg)</w:t>
            </w:r>
          </w:p>
        </w:tc>
        <w:tc>
          <w:tcPr/>
          <w:p>
            <w:pPr>
              <w:pStyle w:val="Compact"/>
              <w:jc w:val="left"/>
            </w:pPr>
            <w:r>
              <w:t xml:space="preserve">0.10 kg CO2e/tkm</w:t>
            </w:r>
          </w:p>
        </w:tc>
        <w:tc>
          <w:tcPr/>
          <w:p>
            <w:pPr>
              <w:pStyle w:val="Compact"/>
              <w:jc w:val="left"/>
            </w:pPr>
            <w:r>
              <w:t xml:space="preserve">DEFRA/Ecoinvent (Illustrative)</w:t>
            </w:r>
          </w:p>
        </w:tc>
      </w:tr>
      <w:tr>
        <w:tc>
          <w:tcPr/>
          <w:p>
            <w:pPr>
              <w:pStyle w:val="Compact"/>
              <w:jc w:val="left"/>
            </w:pPr>
            <w:r>
              <w:t xml:space="preserve">Small Parcel Van (avg)</w:t>
            </w:r>
          </w:p>
        </w:tc>
        <w:tc>
          <w:tcPr/>
          <w:p>
            <w:pPr>
              <w:pStyle w:val="Compact"/>
              <w:jc w:val="left"/>
            </w:pPr>
            <w:r>
              <w:t xml:space="preserve">0.30 kg CO2e/pkg-km</w:t>
            </w:r>
          </w:p>
        </w:tc>
        <w:tc>
          <w:tcPr/>
          <w:p>
            <w:pPr>
              <w:pStyle w:val="Compact"/>
              <w:jc w:val="left"/>
            </w:pPr>
            <w:r>
              <w:t xml:space="preserve">Ecoinvent (Illustrative)</w:t>
            </w:r>
          </w:p>
        </w:tc>
      </w:tr>
      <w:tr>
        <w:tc>
          <w:tcPr/>
          <w:p>
            <w:pPr>
              <w:pStyle w:val="Compact"/>
              <w:jc w:val="left"/>
            </w:pPr>
            <w:r>
              <w:t xml:space="preserve">Waste to Landfill (commercial/industrial)</w:t>
            </w:r>
          </w:p>
        </w:tc>
        <w:tc>
          <w:tcPr/>
          <w:p>
            <w:pPr>
              <w:pStyle w:val="Compact"/>
              <w:jc w:val="left"/>
            </w:pPr>
            <w:r>
              <w:t xml:space="preserve">0.45 kg CO2e/kg</w:t>
            </w:r>
          </w:p>
        </w:tc>
        <w:tc>
          <w:tcPr/>
          <w:p>
            <w:pPr>
              <w:pStyle w:val="Compact"/>
              <w:jc w:val="left"/>
            </w:pPr>
            <w:r>
              <w:t xml:space="preserve">DEFRA/BEIS (Illustrative)</w:t>
            </w:r>
          </w:p>
        </w:tc>
      </w:tr>
      <w:tr>
        <w:tc>
          <w:tcPr/>
          <w:p>
            <w:pPr>
              <w:pStyle w:val="Compact"/>
              <w:jc w:val="left"/>
            </w:pPr>
            <w:r>
              <w:t xml:space="preserve">Recycling Process (e.g., collection, sorting)</w:t>
            </w:r>
          </w:p>
        </w:tc>
        <w:tc>
          <w:tcPr/>
          <w:p>
            <w:pPr>
              <w:pStyle w:val="Compact"/>
              <w:jc w:val="left"/>
            </w:pPr>
            <w:r>
              <w:t xml:space="preserve">0.5 kg CO2e/kg</w:t>
            </w:r>
          </w:p>
        </w:tc>
        <w:tc>
          <w:tcPr/>
          <w:p>
            <w:pPr>
              <w:pStyle w:val="Compact"/>
              <w:jc w:val="left"/>
            </w:pPr>
            <w:r>
              <w:t xml:space="preserve">Ecoinvent (Illustrative)</w:t>
            </w:r>
          </w:p>
        </w:tc>
      </w:tr>
    </w:tbl>
    <w:p>
      <w:r>
        <w:pict>
          <v:rect style="width:0;height:1.5pt" o:hralign="center" o:hrstd="t" o:hr="t"/>
        </w:pict>
      </w:r>
    </w:p>
    <w:bookmarkEnd w:id="36"/>
    <w:bookmarkEnd w:id="37"/>
    <w:bookmarkStart w:id="46" w:name="X3720d7d0541b3a6e3c473bd4daa188ddb828856"/>
    <w:p>
      <w:pPr>
        <w:pStyle w:val="Heading2"/>
      </w:pPr>
      <w:r>
        <w:t xml:space="preserve">4. Calculating Emissions (Activity * Emission Factor = CO2e)</w:t>
      </w:r>
    </w:p>
    <w:p>
      <w:pPr>
        <w:pStyle w:val="FirstParagraph"/>
      </w:pPr>
      <w:r>
        <w:t xml:space="preserve">The total Product Carbon Footprint is calculated by summing the GHG emissions (expressed in kg CO2e) across all lifecycle stages. This section details the calculations for each phase, categorized according to the GHG Protocol (Scope 1, 2, and 3).</w:t>
      </w:r>
    </w:p>
    <w:bookmarkStart w:id="38" w:name="X1198c8af25dd1a2ebffa686809674f976343a37"/>
    <w:p>
      <w:pPr>
        <w:pStyle w:val="Heading3"/>
      </w:pPr>
      <w:r>
        <w:t xml:space="preserve">4.1. Material Acquisition &amp; Pre-processing (Scope 3 - Upstream)</w:t>
      </w:r>
    </w:p>
    <w:p>
      <w:pPr>
        <w:pStyle w:val="FirstParagraph"/>
      </w:pPr>
      <w:r>
        <w:t xml:space="preserve">Emissions from raw material extraction and component manufacturing are directly taken from the \'Total Carbon\' column of the illustrative BOM, as per the detailed data provided in Section 2.1.</w:t>
      </w:r>
    </w:p>
    <w:p>
      <w:pPr>
        <w:numPr>
          <w:ilvl w:val="0"/>
          <w:numId w:val="1002"/>
        </w:numPr>
        <w:pStyle w:val="Compact"/>
      </w:pPr>
      <w:r>
        <w:t xml:space="preserve">Total Material Emissions = 10.91 kg CO2e</w:t>
      </w:r>
    </w:p>
    <w:p>
      <w:pPr>
        <w:pStyle w:val="FirstParagraph"/>
      </w:pPr>
      <w:r>
        <w:t xml:space="preserve">This falls under GHG Protocol Scope 3, Category 1: Purchased goods and services.</w:t>
      </w:r>
    </w:p>
    <w:bookmarkEnd w:id="38"/>
    <w:bookmarkStart w:id="39" w:name="production-phase-scope-1-2"/>
    <w:p>
      <w:pPr>
        <w:pStyle w:val="Heading3"/>
      </w:pPr>
      <w:r>
        <w:t xml:space="preserve">4.2. Production Phase (Scope 1 &amp; 2)</w:t>
      </w:r>
    </w:p>
    <w:p>
      <w:pPr>
        <w:pStyle w:val="FirstParagraph"/>
      </w:pPr>
      <w:r>
        <w:t xml:space="preserve">This phase considers direct emissions (Scope 1) and indirect emissions from purchased electricity (Scope 2) at the manufacturing plant in China.</w:t>
      </w:r>
    </w:p>
    <w:p>
      <w:pPr>
        <w:numPr>
          <w:ilvl w:val="0"/>
          <w:numId w:val="1003"/>
        </w:numPr>
        <w:pStyle w:val="Compact"/>
      </w:pPr>
      <w:r>
        <w:rPr>
          <w:bCs/>
          <w:b/>
        </w:rPr>
        <w:t xml:space="preserve">Energy Intensity:</w:t>
      </w:r>
      <w:r>
        <w:t xml:space="preserve"> </w:t>
      </w:r>
      <w:r>
        <w:t xml:space="preserve">10 kWh/unit (frdrlilwon)</w:t>
      </w:r>
    </w:p>
    <w:p>
      <w:pPr>
        <w:numPr>
          <w:ilvl w:val="0"/>
          <w:numId w:val="1003"/>
        </w:numPr>
        <w:pStyle w:val="Compact"/>
      </w:pPr>
      <w:r>
        <w:rPr>
          <w:bCs/>
          <w:b/>
        </w:rPr>
        <w:t xml:space="preserve">Renewable Energy Usage:</w:t>
      </w:r>
      <w:r>
        <w:t xml:space="preserve"> </w:t>
      </w:r>
      <w:r>
        <w:t xml:space="preserve">50% (ikzomnnozv)</w:t>
      </w:r>
    </w:p>
    <w:p>
      <w:pPr>
        <w:numPr>
          <w:ilvl w:val="0"/>
          <w:numId w:val="1003"/>
        </w:numPr>
        <w:pStyle w:val="Compact"/>
      </w:pPr>
      <w:r>
        <w:rPr>
          <w:bCs/>
          <w:b/>
        </w:rPr>
        <w:t xml:space="preserve">Assumed China Grid Mix Emission Factor:</w:t>
      </w:r>
      <w:r>
        <w:t xml:space="preserve"> </w:t>
      </w:r>
      <w:r>
        <w:t xml:space="preserve">0.65 kg CO2e/kWh</w:t>
      </w:r>
    </w:p>
    <w:p>
      <w:pPr>
        <w:numPr>
          <w:ilvl w:val="0"/>
          <w:numId w:val="1003"/>
        </w:numPr>
        <w:pStyle w:val="Compact"/>
      </w:pPr>
      <w:r>
        <w:rPr>
          <w:bCs/>
          <w:b/>
        </w:rPr>
        <w:t xml:space="preserve">Effective Grid Electricity Consumption:</w:t>
      </w:r>
      <w:r>
        <w:t xml:space="preserve"> </w:t>
      </w:r>
      <w:r>
        <w:t xml:space="preserve">10 kWh/unit * (1 - 50% renewable) = 5 kWh/unit</w:t>
      </w:r>
    </w:p>
    <w:p>
      <w:pPr>
        <w:numPr>
          <w:ilvl w:val="0"/>
          <w:numId w:val="1003"/>
        </w:numPr>
        <w:pStyle w:val="Compact"/>
      </w:pPr>
      <w:r>
        <w:rPr>
          <w:bCs/>
          <w:b/>
        </w:rPr>
        <w:t xml:space="preserve">Scope 2 Emissions (Electricity):</w:t>
      </w:r>
      <w:r>
        <w:t xml:space="preserve"> </w:t>
      </w:r>
      <w:r>
        <w:t xml:space="preserve">5 kWh/unit * 0.65 kg CO2e/kWh = 3.25 kg CO2e/unit</w:t>
      </w:r>
    </w:p>
    <w:p>
      <w:pPr>
        <w:numPr>
          <w:ilvl w:val="0"/>
          <w:numId w:val="1003"/>
        </w:numPr>
        <w:pStyle w:val="Compact"/>
      </w:pPr>
      <w:r>
        <w:rPr>
          <w:bCs/>
          <w:b/>
        </w:rPr>
        <w:t xml:space="preserve">Scope 1 Emissions (Direct, e.g., on-site fuel combustion):</w:t>
      </w:r>
      <w:r>
        <w:t xml:space="preserve"> </w:t>
      </w:r>
      <w:r>
        <w:t xml:space="preserve">Assuming negligible direct combustion or incorporated into Scope 2 for simplicity in this illustrative scenario: 0.10 kg CO2e/unit (Illustrative)</w:t>
      </w:r>
    </w:p>
    <w:p>
      <w:pPr>
        <w:pStyle w:val="FirstParagraph"/>
      </w:pPr>
      <w:r>
        <w:rPr>
          <w:bCs/>
          <w:b/>
        </w:rPr>
        <w:t xml:space="preserve">Total Production Phase Emissions = 3.25 (Scope 2) + 0.10 (Scope 1) = 3.35 kg CO2e/unit</w:t>
      </w:r>
    </w:p>
    <w:p>
      <w:pPr>
        <w:pStyle w:val="BodyText"/>
      </w:pPr>
      <w:r>
        <w:t xml:space="preserve">Scope 1: Direct emissions from operations. Scope 2: Indirect emissions from purchased electricity.</w:t>
      </w:r>
    </w:p>
    <w:bookmarkEnd w:id="39"/>
    <w:bookmarkStart w:id="40" w:name="transport-scope-3---upstream-downstream"/>
    <w:p>
      <w:pPr>
        <w:pStyle w:val="Heading3"/>
      </w:pPr>
      <w:r>
        <w:t xml:space="preserve">4.3. Transport (Scope 3 - Upstream &amp; Downstream)</w:t>
      </w:r>
    </w:p>
    <w:p>
      <w:pPr>
        <w:pStyle w:val="FirstParagraph"/>
      </w:pPr>
      <w:r>
        <w:t xml:space="preserve">This includes inbound transport of materials and components, and outbound transport of the finished product.</w:t>
      </w:r>
    </w:p>
    <w:p>
      <w:pPr>
        <w:numPr>
          <w:ilvl w:val="0"/>
          <w:numId w:val="1004"/>
        </w:numPr>
        <w:pStyle w:val="Compact"/>
      </w:pPr>
      <w:r>
        <w:rPr>
          <w:bCs/>
          <w:b/>
        </w:rPr>
        <w:t xml:space="preserve">Upstream Transport (e.g., from Europe to China):</w:t>
      </w:r>
    </w:p>
    <w:p>
      <w:pPr>
        <w:numPr>
          <w:ilvl w:val="1"/>
          <w:numId w:val="1005"/>
        </w:numPr>
        <w:pStyle w:val="Compact"/>
      </w:pPr>
      <w:r>
        <w:rPr>
          <w:bCs/>
          <w:b/>
        </w:rPr>
        <w:t xml:space="preserve">Mode:</w:t>
      </w:r>
      <w:r>
        <w:t xml:space="preserve"> </w:t>
      </w:r>
      <w:r>
        <w:t xml:space="preserve">Road Freight (HGV) (Select Mode)</w:t>
      </w:r>
    </w:p>
    <w:p>
      <w:pPr>
        <w:numPr>
          <w:ilvl w:val="1"/>
          <w:numId w:val="1005"/>
        </w:numPr>
        <w:pStyle w:val="Compact"/>
      </w:pPr>
      <w:r>
        <w:rPr>
          <w:bCs/>
          <w:b/>
        </w:rPr>
        <w:t xml:space="preserve">Distance:</w:t>
      </w:r>
      <w:r>
        <w:t xml:space="preserve"> </w:t>
      </w:r>
      <w:r>
        <w:t xml:space="preserve">500 km (mqxhtvpmkt)</w:t>
      </w:r>
    </w:p>
    <w:p>
      <w:pPr>
        <w:numPr>
          <w:ilvl w:val="1"/>
          <w:numId w:val="1005"/>
        </w:numPr>
        <w:pStyle w:val="Compact"/>
      </w:pPr>
      <w:r>
        <w:rPr>
          <w:bCs/>
          <w:b/>
        </w:rPr>
        <w:t xml:space="preserve">Assumed Payload (materials):</w:t>
      </w:r>
      <w:r>
        <w:t xml:space="preserve"> </w:t>
      </w:r>
      <w:r>
        <w:t xml:space="preserve">1 kg/unit (from BOM approx 1kg)</w:t>
      </w:r>
    </w:p>
    <w:p>
      <w:pPr>
        <w:numPr>
          <w:ilvl w:val="1"/>
          <w:numId w:val="1005"/>
        </w:numPr>
        <w:pStyle w:val="Compact"/>
      </w:pPr>
      <w:r>
        <w:rPr>
          <w:bCs/>
          <w:b/>
        </w:rPr>
        <w:t xml:space="preserve">Emission Factor:</w:t>
      </w:r>
      <w:r>
        <w:t xml:space="preserve"> </w:t>
      </w:r>
      <w:r>
        <w:t xml:space="preserve">0.10 kg CO2e/tkm</w:t>
      </w:r>
    </w:p>
    <w:p>
      <w:pPr>
        <w:numPr>
          <w:ilvl w:val="1"/>
          <w:numId w:val="1005"/>
        </w:numPr>
        <w:pStyle w:val="Compact"/>
      </w:pPr>
      <w:r>
        <w:rPr>
          <w:bCs/>
          <w:b/>
        </w:rPr>
        <w:t xml:space="preserve">Emissions:</w:t>
      </w:r>
      <w:r>
        <w:t xml:space="preserve"> </w:t>
      </w:r>
      <w:r>
        <w:t xml:space="preserve">(1 kg / 1000 kg/tonne) * 500 km * 0.10 kg CO2e/tkm = 0.05 kg CO2e/unit</w:t>
      </w:r>
    </w:p>
    <w:p>
      <w:pPr>
        <w:numPr>
          <w:ilvl w:val="0"/>
          <w:numId w:val="1004"/>
        </w:numPr>
        <w:pStyle w:val="Compact"/>
      </w:pPr>
      <w:r>
        <w:rPr>
          <w:bCs/>
          <w:b/>
        </w:rPr>
        <w:t xml:space="preserve">Downstream Transport (Product distribution, e.g., from China to market):</w:t>
      </w:r>
    </w:p>
    <w:p>
      <w:pPr>
        <w:numPr>
          <w:ilvl w:val="1"/>
          <w:numId w:val="1006"/>
        </w:numPr>
        <w:pStyle w:val="Compact"/>
      </w:pPr>
      <w:r>
        <w:rPr>
          <w:bCs/>
          <w:b/>
        </w:rPr>
        <w:t xml:space="preserve">Mode:</w:t>
      </w:r>
      <w:r>
        <w:t xml:space="preserve"> </w:t>
      </w:r>
      <w:r>
        <w:t xml:space="preserve">Road Freight (HGV) (primary distribution)</w:t>
      </w:r>
    </w:p>
    <w:p>
      <w:pPr>
        <w:numPr>
          <w:ilvl w:val="1"/>
          <w:numId w:val="1006"/>
        </w:numPr>
        <w:pStyle w:val="Compact"/>
      </w:pPr>
      <w:r>
        <w:rPr>
          <w:bCs/>
          <w:b/>
        </w:rPr>
        <w:t xml:space="preserve">Distance:</w:t>
      </w:r>
      <w:r>
        <w:t xml:space="preserve"> </w:t>
      </w:r>
      <w:r>
        <w:t xml:space="preserve">1000 km (Illustrative)</w:t>
      </w:r>
    </w:p>
    <w:p>
      <w:pPr>
        <w:numPr>
          <w:ilvl w:val="1"/>
          <w:numId w:val="1006"/>
        </w:numPr>
        <w:pStyle w:val="Compact"/>
      </w:pPr>
      <w:r>
        <w:rPr>
          <w:bCs/>
          <w:b/>
        </w:rPr>
        <w:t xml:space="preserve">Assumed Product Weight:</w:t>
      </w:r>
      <w:r>
        <w:t xml:space="preserve"> </w:t>
      </w:r>
      <w:r>
        <w:t xml:space="preserve">1 kg/unit (Illustrative)</w:t>
      </w:r>
    </w:p>
    <w:p>
      <w:pPr>
        <w:numPr>
          <w:ilvl w:val="1"/>
          <w:numId w:val="1006"/>
        </w:numPr>
        <w:pStyle w:val="Compact"/>
      </w:pPr>
      <w:r>
        <w:rPr>
          <w:bCs/>
          <w:b/>
        </w:rPr>
        <w:t xml:space="preserve">Emission Factor:</w:t>
      </w:r>
      <w:r>
        <w:t xml:space="preserve"> </w:t>
      </w:r>
      <w:r>
        <w:t xml:space="preserve">0.10 kg CO2e/tkm</w:t>
      </w:r>
    </w:p>
    <w:p>
      <w:pPr>
        <w:numPr>
          <w:ilvl w:val="1"/>
          <w:numId w:val="1006"/>
        </w:numPr>
        <w:pStyle w:val="Compact"/>
      </w:pPr>
      <w:r>
        <w:rPr>
          <w:bCs/>
          <w:b/>
        </w:rPr>
        <w:t xml:space="preserve">Emissions:</w:t>
      </w:r>
      <w:r>
        <w:t xml:space="preserve"> </w:t>
      </w:r>
      <w:r>
        <w:t xml:space="preserve">(1 kg / 1000 kg/tonne) * 1000 km * 0.10 kg CO2e/tkm = 0.10 kg CO2e/unit</w:t>
      </w:r>
    </w:p>
    <w:p>
      <w:pPr>
        <w:numPr>
          <w:ilvl w:val="0"/>
          <w:numId w:val="1004"/>
        </w:numPr>
        <w:pStyle w:val="Compact"/>
      </w:pPr>
      <w:r>
        <w:rPr>
          <w:bCs/>
          <w:b/>
        </w:rPr>
        <w:t xml:space="preserve">Last-Mile Delivery (to customer):</w:t>
      </w:r>
    </w:p>
    <w:p>
      <w:pPr>
        <w:numPr>
          <w:ilvl w:val="1"/>
          <w:numId w:val="1007"/>
        </w:numPr>
        <w:pStyle w:val="Compact"/>
      </w:pPr>
      <w:r>
        <w:rPr>
          <w:bCs/>
          <w:b/>
        </w:rPr>
        <w:t xml:space="preserve">Channel:</w:t>
      </w:r>
      <w:r>
        <w:t xml:space="preserve"> </w:t>
      </w:r>
      <w:r>
        <w:t xml:space="preserve">Small Parcel Van (Delivery Type)</w:t>
      </w:r>
    </w:p>
    <w:p>
      <w:pPr>
        <w:numPr>
          <w:ilvl w:val="1"/>
          <w:numId w:val="1007"/>
        </w:numPr>
        <w:pStyle w:val="Compact"/>
      </w:pPr>
      <w:r>
        <w:rPr>
          <w:bCs/>
          <w:b/>
        </w:rPr>
        <w:t xml:space="preserve">Distance:</w:t>
      </w:r>
      <w:r>
        <w:t xml:space="preserve"> </w:t>
      </w:r>
      <w:r>
        <w:t xml:space="preserve">50 km (Illustrative)</w:t>
      </w:r>
    </w:p>
    <w:p>
      <w:pPr>
        <w:numPr>
          <w:ilvl w:val="1"/>
          <w:numId w:val="1007"/>
        </w:numPr>
        <w:pStyle w:val="Compact"/>
      </w:pPr>
      <w:r>
        <w:rPr>
          <w:bCs/>
          <w:b/>
        </w:rPr>
        <w:t xml:space="preserve">Emission Factor:</w:t>
      </w:r>
      <w:r>
        <w:t xml:space="preserve"> </w:t>
      </w:r>
      <w:r>
        <w:t xml:space="preserve">0.30 kg CO2e/pkg-km (Illustrative)</w:t>
      </w:r>
    </w:p>
    <w:p>
      <w:pPr>
        <w:numPr>
          <w:ilvl w:val="1"/>
          <w:numId w:val="1007"/>
        </w:numPr>
        <w:pStyle w:val="Compact"/>
      </w:pPr>
      <w:r>
        <w:rPr>
          <w:bCs/>
          <w:b/>
        </w:rPr>
        <w:t xml:space="preserve">Emissions:</w:t>
      </w:r>
      <w:r>
        <w:t xml:space="preserve"> </w:t>
      </w:r>
      <w:r>
        <w:t xml:space="preserve">50 km * 0.30 kg CO2e/pkg-km = 15.00 kg CO2e/unit</w:t>
      </w:r>
    </w:p>
    <w:p>
      <w:pPr>
        <w:pStyle w:val="FirstParagraph"/>
      </w:pPr>
      <w:r>
        <w:rPr>
          <w:bCs/>
          <w:b/>
        </w:rPr>
        <w:t xml:space="preserve">Total Transport Emissions = 0.05 + 0.10 + 15.00 = 15.15 kg CO2e/unit</w:t>
      </w:r>
    </w:p>
    <w:p>
      <w:pPr>
        <w:pStyle w:val="BodyText"/>
      </w:pPr>
      <w:r>
        <w:t xml:space="preserve">This falls under GHG Protocol Scope 3, Category 4: Upstream transportation and distribution, and Category 9: Downstream transportation and distribution.</w:t>
      </w:r>
    </w:p>
    <w:bookmarkEnd w:id="40"/>
    <w:bookmarkStart w:id="41" w:name="use-phase-scope-3---downstream"/>
    <w:p>
      <w:pPr>
        <w:pStyle w:val="Heading3"/>
      </w:pPr>
      <w:r>
        <w:t xml:space="preserve">4.4. Use Phase (Scope 3 - Downstream)</w:t>
      </w:r>
    </w:p>
    <w:p>
      <w:pPr>
        <w:pStyle w:val="FirstParagraph"/>
      </w:pPr>
      <w:r>
        <w:t xml:space="preserve">Emissions from the product\'s energy consumption over its lifespan.</w:t>
      </w:r>
    </w:p>
    <w:p>
      <w:pPr>
        <w:numPr>
          <w:ilvl w:val="0"/>
          <w:numId w:val="1008"/>
        </w:numPr>
        <w:pStyle w:val="Compact"/>
      </w:pPr>
      <w:r>
        <w:rPr>
          <w:bCs/>
          <w:b/>
        </w:rPr>
        <w:t xml:space="preserve">Product Lifespan:</w:t>
      </w:r>
      <w:r>
        <w:t xml:space="preserve"> </w:t>
      </w:r>
      <w:r>
        <w:t xml:space="preserve">5 years (vvrrdvheir)</w:t>
      </w:r>
    </w:p>
    <w:p>
      <w:pPr>
        <w:numPr>
          <w:ilvl w:val="0"/>
          <w:numId w:val="1008"/>
        </w:numPr>
        <w:pStyle w:val="Compact"/>
      </w:pPr>
      <w:r>
        <w:rPr>
          <w:bCs/>
          <w:b/>
        </w:rPr>
        <w:t xml:space="preserve">Energy Consumption in Use:</w:t>
      </w:r>
      <w:r>
        <w:t xml:space="preserve"> </w:t>
      </w:r>
      <w:r>
        <w:t xml:space="preserve">5 kWh/year (xldmdjgfim)</w:t>
      </w:r>
    </w:p>
    <w:p>
      <w:pPr>
        <w:numPr>
          <w:ilvl w:val="0"/>
          <w:numId w:val="1008"/>
        </w:numPr>
        <w:pStyle w:val="Compact"/>
      </w:pPr>
      <w:r>
        <w:rPr>
          <w:bCs/>
          <w:b/>
        </w:rPr>
        <w:t xml:space="preserve">Total Energy Consumption over Lifespan:</w:t>
      </w:r>
      <w:r>
        <w:t xml:space="preserve"> </w:t>
      </w:r>
      <w:r>
        <w:t xml:space="preserve">5 years * 5 kWh/year = 25 kWh/unit</w:t>
      </w:r>
    </w:p>
    <w:p>
      <w:pPr>
        <w:numPr>
          <w:ilvl w:val="0"/>
          <w:numId w:val="1008"/>
        </w:numPr>
        <w:pStyle w:val="Compact"/>
      </w:pPr>
      <w:r>
        <w:rPr>
          <w:bCs/>
          <w:b/>
        </w:rPr>
        <w:t xml:space="preserve">Assumed Electricity Grid Mix (End-user region, e.g., EU average):</w:t>
      </w:r>
      <w:r>
        <w:t xml:space="preserve"> </w:t>
      </w:r>
      <w:r>
        <w:t xml:space="preserve">0.25 kg CO2e/kWh (Illustrative)</w:t>
      </w:r>
    </w:p>
    <w:p>
      <w:pPr>
        <w:numPr>
          <w:ilvl w:val="0"/>
          <w:numId w:val="1008"/>
        </w:numPr>
        <w:pStyle w:val="Compact"/>
      </w:pPr>
      <w:r>
        <w:rPr>
          <w:bCs/>
          <w:b/>
        </w:rPr>
        <w:t xml:space="preserve">Emissions:</w:t>
      </w:r>
      <w:r>
        <w:t xml:space="preserve"> </w:t>
      </w:r>
      <w:r>
        <w:t xml:space="preserve">25 kWh/unit * 0.25 kg CO2e/kWh = 6.25 kg CO2e/unit</w:t>
      </w:r>
    </w:p>
    <w:p>
      <w:pPr>
        <w:pStyle w:val="FirstParagraph"/>
      </w:pPr>
      <w:r>
        <w:rPr>
          <w:bCs/>
          <w:b/>
        </w:rPr>
        <w:t xml:space="preserve">Total Use Phase Emissions = 6.25 kg CO2e/unit</w:t>
      </w:r>
    </w:p>
    <w:p>
      <w:pPr>
        <w:pStyle w:val="BodyText"/>
      </w:pPr>
      <w:r>
        <w:t xml:space="preserve">This falls under GHG Protocol Scope 3, Category 11: Use of sold products.</w:t>
      </w:r>
    </w:p>
    <w:bookmarkEnd w:id="41"/>
    <w:bookmarkStart w:id="42" w:name="X92fbc61eed99b9d9aafbebcbbd2c7ad7660f7e4"/>
    <w:p>
      <w:pPr>
        <w:pStyle w:val="Heading3"/>
      </w:pPr>
      <w:r>
        <w:t xml:space="preserve">4.5. End-of-Life (EoL) Phase (Scope 3 - Downstream)</w:t>
      </w:r>
    </w:p>
    <w:p>
      <w:pPr>
        <w:pStyle w:val="FirstParagraph"/>
      </w:pPr>
      <w:r>
        <w:t xml:space="preserve">This accounts for the fate of the product after its useful life, considering recyclability and circular programs.</w:t>
      </w:r>
    </w:p>
    <w:p>
      <w:pPr>
        <w:numPr>
          <w:ilvl w:val="0"/>
          <w:numId w:val="1009"/>
        </w:numPr>
        <w:pStyle w:val="Compact"/>
      </w:pPr>
      <w:r>
        <w:rPr>
          <w:bCs/>
          <w:b/>
        </w:rPr>
        <w:t xml:space="preserve">Product Weight:</w:t>
      </w:r>
      <w:r>
        <w:t xml:space="preserve"> </w:t>
      </w:r>
      <w:r>
        <w:t xml:space="preserve">~1 kg (Illustrative, based on BOM)</w:t>
      </w:r>
    </w:p>
    <w:p>
      <w:pPr>
        <w:numPr>
          <w:ilvl w:val="0"/>
          <w:numId w:val="1009"/>
        </w:numPr>
        <w:pStyle w:val="Compact"/>
      </w:pPr>
      <w:r>
        <w:rPr>
          <w:bCs/>
          <w:b/>
        </w:rPr>
        <w:t xml:space="preserve">Recyclability Percentage:</w:t>
      </w:r>
      <w:r>
        <w:t xml:space="preserve"> </w:t>
      </w:r>
      <w:r>
        <w:t xml:space="preserve">80% (xhgdyupqhe)</w:t>
      </w:r>
    </w:p>
    <w:p>
      <w:pPr>
        <w:numPr>
          <w:ilvl w:val="0"/>
          <w:numId w:val="1009"/>
        </w:numPr>
        <w:pStyle w:val="Compact"/>
      </w:pPr>
      <w:r>
        <w:rPr>
          <w:bCs/>
          <w:b/>
        </w:rPr>
        <w:t xml:space="preserve">Non-Recyclable Waste:</w:t>
      </w:r>
      <w:r>
        <w:t xml:space="preserve"> </w:t>
      </w:r>
      <w:r>
        <w:t xml:space="preserve">1 kg * (1 - 80%) = 0.2 kg/unit</w:t>
      </w:r>
    </w:p>
    <w:p>
      <w:pPr>
        <w:numPr>
          <w:ilvl w:val="0"/>
          <w:numId w:val="1009"/>
        </w:numPr>
        <w:pStyle w:val="Compact"/>
      </w:pPr>
      <w:r>
        <w:rPr>
          <w:bCs/>
          <w:b/>
        </w:rPr>
        <w:t xml:space="preserve">Assumed Waste to Landfill Emission Factor:</w:t>
      </w:r>
      <w:r>
        <w:t xml:space="preserve"> </w:t>
      </w:r>
      <w:r>
        <w:t xml:space="preserve">0.45 kg CO2e/kg</w:t>
      </w:r>
    </w:p>
    <w:p>
      <w:pPr>
        <w:numPr>
          <w:ilvl w:val="0"/>
          <w:numId w:val="1009"/>
        </w:numPr>
        <w:pStyle w:val="Compact"/>
      </w:pPr>
      <w:r>
        <w:rPr>
          <w:bCs/>
          <w:b/>
        </w:rPr>
        <w:t xml:space="preserve">Landfill Emissions:</w:t>
      </w:r>
      <w:r>
        <w:t xml:space="preserve"> </w:t>
      </w:r>
      <w:r>
        <w:t xml:space="preserve">0.2 kg * 0.45 kg CO2e/kg = 0.09 kg CO2e/unit</w:t>
      </w:r>
    </w:p>
    <w:p>
      <w:pPr>
        <w:numPr>
          <w:ilvl w:val="0"/>
          <w:numId w:val="1009"/>
        </w:numPr>
        <w:pStyle w:val="Compact"/>
      </w:pPr>
      <w:r>
        <w:rPr>
          <w:bCs/>
          <w:b/>
        </w:rPr>
        <w:t xml:space="preserve">Recycling Processing Emissions:</w:t>
      </w:r>
      <w:r>
        <w:t xml:space="preserve"> </w:t>
      </w:r>
      <w:r>
        <w:t xml:space="preserve">For the 80% recycled material (0.8 kg), emissions associated with collection, sorting, and processing. Note that a full lifecycle assessment for recycling would also consider avoided virgin material production, which can result in significant credits. For this illustrative report, we quantify the processing burden.</w:t>
      </w:r>
    </w:p>
    <w:p>
      <w:pPr>
        <w:numPr>
          <w:ilvl w:val="1"/>
          <w:numId w:val="1010"/>
        </w:numPr>
        <w:pStyle w:val="Compact"/>
      </w:pPr>
      <w:r>
        <w:rPr>
          <w:bCs/>
          <w:b/>
        </w:rPr>
        <w:t xml:space="preserve">Assumed Recycling Processing Emission Factor:</w:t>
      </w:r>
      <w:r>
        <w:t xml:space="preserve"> </w:t>
      </w:r>
      <w:r>
        <w:t xml:space="preserve">0.5 kg CO2e/kg (Illustrative for processing activities)</w:t>
      </w:r>
    </w:p>
    <w:p>
      <w:pPr>
        <w:numPr>
          <w:ilvl w:val="1"/>
          <w:numId w:val="1010"/>
        </w:numPr>
        <w:pStyle w:val="Compact"/>
      </w:pPr>
      <w:r>
        <w:rPr>
          <w:bCs/>
          <w:b/>
        </w:rPr>
        <w:t xml:space="preserve">Emissions from Recycling Processes:</w:t>
      </w:r>
      <w:r>
        <w:t xml:space="preserve"> </w:t>
      </w:r>
      <w:r>
        <w:t xml:space="preserve">0.8 kg * 0.5 kg CO2e/kg = 0.40 kg CO2e/unit</w:t>
      </w:r>
    </w:p>
    <w:p>
      <w:pPr>
        <w:pStyle w:val="FirstParagraph"/>
      </w:pPr>
      <w:r>
        <w:rPr>
          <w:bCs/>
          <w:b/>
        </w:rPr>
        <w:t xml:space="preserve">Total EoL Emissions = 0.09 (Landfill) + 0.40 (Recycling Process) = 0.49 kg CO2e/unit</w:t>
      </w:r>
    </w:p>
    <w:p>
      <w:pPr>
        <w:pStyle w:val="BodyText"/>
      </w:pPr>
      <w:r>
        <w:t xml:space="preserve">This falls under GHG Protocol Scope 3, Category 12: End-of-life treatment of sold products.</w:t>
      </w:r>
    </w:p>
    <w:bookmarkEnd w:id="42"/>
    <w:bookmarkStart w:id="43" w:name="application-of-2026-lsr-update"/>
    <w:p>
      <w:pPr>
        <w:pStyle w:val="Heading3"/>
      </w:pPr>
      <w:r>
        <w:t xml:space="preserve">4.6. Application of 2026 LSR Update</w:t>
      </w:r>
    </w:p>
    <w:p>
      <w:pPr>
        <w:pStyle w:val="FirstParagraph"/>
      </w:pPr>
      <w:r>
        <w:t xml:space="preserve">The 2026 Land Sector and Removals (LSR) Standard is applied, which requires companies to quantify GHG emissions and removals from land use and land-use change activities in their value chain. While specific data for otpgqmdqym\'s land-related impacts are not explicitly provided, it is acknowledged that emissions from land use change (e.g., deforestation for raw material extraction) and carbon removals (e.g., through sustainable forestry for paper packaging) would be calculated and included in Scope 3, particularly within Category 1 (Purchased goods and services) and potentially Category 4 (Upstream transportation and distribution) for biofuels. For this report, given the illustrative nature of specific data, these are qualitatively addressed, noting their inclusion in a full LSR-compliant assessment.</w:t>
      </w:r>
    </w:p>
    <w:bookmarkEnd w:id="43"/>
    <w:bookmarkStart w:id="44" w:name="summary-of-product-carbon-footprint"/>
    <w:p>
      <w:pPr>
        <w:pStyle w:val="Heading3"/>
      </w:pPr>
      <w:r>
        <w:t xml:space="preserve">4.7. Summary of Product Carbon Footprint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 CO2e/unit)</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10.91</w:t>
            </w:r>
          </w:p>
        </w:tc>
      </w:tr>
      <w:tr>
        <w:tc>
          <w:tcPr/>
          <w:p>
            <w:pPr>
              <w:pStyle w:val="Compact"/>
              <w:jc w:val="left"/>
            </w:pPr>
            <w:r>
              <w:t xml:space="preserve">Production Phase (Direct)</w:t>
            </w:r>
          </w:p>
        </w:tc>
        <w:tc>
          <w:tcPr/>
          <w:p>
            <w:pPr>
              <w:pStyle w:val="Compact"/>
              <w:jc w:val="left"/>
            </w:pPr>
            <w:r>
              <w:t xml:space="preserve">Scope 1</w:t>
            </w:r>
          </w:p>
        </w:tc>
        <w:tc>
          <w:tcPr/>
          <w:p>
            <w:pPr>
              <w:pStyle w:val="Compact"/>
              <w:jc w:val="left"/>
            </w:pPr>
            <w:r>
              <w:t xml:space="preserve">0.10</w:t>
            </w:r>
          </w:p>
        </w:tc>
      </w:tr>
      <w:tr>
        <w:tc>
          <w:tcPr/>
          <w:p>
            <w:pPr>
              <w:pStyle w:val="Compact"/>
              <w:jc w:val="left"/>
            </w:pPr>
            <w:r>
              <w:t xml:space="preserve">Production Phase (Purchased Electricity)</w:t>
            </w:r>
          </w:p>
        </w:tc>
        <w:tc>
          <w:tcPr/>
          <w:p>
            <w:pPr>
              <w:pStyle w:val="Compact"/>
              <w:jc w:val="left"/>
            </w:pPr>
            <w:r>
              <w:t xml:space="preserve">Scope 2</w:t>
            </w:r>
          </w:p>
        </w:tc>
        <w:tc>
          <w:tcPr/>
          <w:p>
            <w:pPr>
              <w:pStyle w:val="Compact"/>
              <w:jc w:val="left"/>
            </w:pPr>
            <w:r>
              <w:t xml:space="preserve">3.25</w:t>
            </w:r>
          </w:p>
        </w:tc>
      </w:tr>
      <w:tr>
        <w:tc>
          <w:tcPr/>
          <w:p>
            <w:pPr>
              <w:pStyle w:val="Compact"/>
              <w:jc w:val="left"/>
            </w:pPr>
            <w:r>
              <w:t xml:space="preserve">Transport (Upstream &amp; Downstream)</w:t>
            </w:r>
          </w:p>
        </w:tc>
        <w:tc>
          <w:tcPr/>
          <w:p>
            <w:pPr>
              <w:pStyle w:val="Compact"/>
              <w:jc w:val="left"/>
            </w:pPr>
            <w:r>
              <w:t xml:space="preserve">Scope 3 (Cat. 4 &amp; 9)</w:t>
            </w:r>
          </w:p>
        </w:tc>
        <w:tc>
          <w:tcPr/>
          <w:p>
            <w:pPr>
              <w:pStyle w:val="Compact"/>
              <w:jc w:val="left"/>
            </w:pPr>
            <w:r>
              <w:t xml:space="preserve">15.15</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6.25</w:t>
            </w:r>
          </w:p>
        </w:tc>
      </w:tr>
      <w:tr>
        <w:tc>
          <w:tcPr/>
          <w:p>
            <w:pPr>
              <w:pStyle w:val="Compact"/>
              <w:jc w:val="left"/>
            </w:pPr>
            <w:r>
              <w:t xml:space="preserve">End-of-Life Phase</w:t>
            </w:r>
          </w:p>
        </w:tc>
        <w:tc>
          <w:tcPr/>
          <w:p>
            <w:pPr>
              <w:pStyle w:val="Compact"/>
              <w:jc w:val="left"/>
            </w:pPr>
            <w:r>
              <w:t xml:space="preserve">Scope 3 (Category 12)</w:t>
            </w:r>
          </w:p>
        </w:tc>
        <w:tc>
          <w:tcPr/>
          <w:p>
            <w:pPr>
              <w:pStyle w:val="Compact"/>
              <w:jc w:val="left"/>
            </w:pPr>
            <w:r>
              <w:t xml:space="preserve">0.49</w:t>
            </w:r>
          </w:p>
        </w:tc>
      </w:tr>
      <w:tr>
        <w:tc>
          <w:tcPr>
            <w:gridSpan w:val="2"/>
          </w:tcPr>
          <w:p>
            <w:pPr>
              <w:pStyle w:val="Compact"/>
              <w:jc w:val="left"/>
            </w:pPr>
            <w:r>
              <w:t xml:space="preserve">Total Product Carbon Footprint (PCF)</w:t>
            </w:r>
          </w:p>
        </w:tc>
        <w:tc>
          <w:tcPr/>
          <w:p>
            <w:pPr>
              <w:pStyle w:val="Compact"/>
              <w:jc w:val="left"/>
            </w:pPr>
            <w:r>
              <w:t xml:space="preserve">36.15</w:t>
            </w:r>
          </w:p>
        </w:tc>
      </w:tr>
    </w:tbl>
    <w:p>
      <w:pPr>
        <w:pStyle w:val="BodyText"/>
      </w:pPr>
      <w:r>
        <w:rPr>
          <w:bCs/>
          <w:b/>
        </w:rPr>
        <w:t xml:space="preserve">GHG Protocol Scope Summary:</w:t>
      </w:r>
    </w:p>
    <w:p>
      <w:pPr>
        <w:numPr>
          <w:ilvl w:val="0"/>
          <w:numId w:val="1011"/>
        </w:numPr>
        <w:pStyle w:val="Compact"/>
      </w:pPr>
      <w:r>
        <w:rPr>
          <w:bCs/>
          <w:b/>
        </w:rPr>
        <w:t xml:space="preserve">Total Scope 1 Emissions:</w:t>
      </w:r>
      <w:r>
        <w:t xml:space="preserve"> </w:t>
      </w:r>
      <w:r>
        <w:t xml:space="preserve">0.10 kg CO2e/unit</w:t>
      </w:r>
    </w:p>
    <w:p>
      <w:pPr>
        <w:numPr>
          <w:ilvl w:val="0"/>
          <w:numId w:val="1011"/>
        </w:numPr>
        <w:pStyle w:val="Compact"/>
      </w:pPr>
      <w:r>
        <w:rPr>
          <w:bCs/>
          <w:b/>
        </w:rPr>
        <w:t xml:space="preserve">Total Scope 2 Emissions:</w:t>
      </w:r>
      <w:r>
        <w:t xml:space="preserve"> </w:t>
      </w:r>
      <w:r>
        <w:t xml:space="preserve">3.25 kg CO2e/unit</w:t>
      </w:r>
    </w:p>
    <w:p>
      <w:pPr>
        <w:numPr>
          <w:ilvl w:val="0"/>
          <w:numId w:val="1011"/>
        </w:numPr>
        <w:pStyle w:val="Compact"/>
      </w:pPr>
      <w:r>
        <w:rPr>
          <w:bCs/>
          <w:b/>
        </w:rPr>
        <w:t xml:space="preserve">Total Scope 3 Emissions:</w:t>
      </w:r>
      <w:r>
        <w:t xml:space="preserve"> </w:t>
      </w:r>
      <w:r>
        <w:t xml:space="preserve">10.91 (Materials) + 15.15 (Transport) + 6.25 (Use) + 0.49 (EoL) = 32.80 kg CO2e/unit</w:t>
      </w:r>
    </w:p>
    <w:bookmarkEnd w:id="44"/>
    <w:bookmarkStart w:id="45" w:name="scope-3-compliance-2026-requirements"/>
    <w:p>
      <w:pPr>
        <w:pStyle w:val="Heading3"/>
      </w:pPr>
      <w:r>
        <w:t xml:space="preserve">4.8. Scope 3 Compliance (2026 Requirements)</w:t>
      </w:r>
    </w:p>
    <w:p>
      <w:pPr>
        <w:pStyle w:val="FirstParagraph"/>
      </w:pPr>
      <w:r>
        <w:t xml:space="preserve">With a total PCF of 36.15 kg CO2e/unit and Scope 3 emissions accounting for 32.80 kg CO2e/unit, the Scope 3 coverage is calculated as (32.80 / 36.15) * 100% = 90.73%. While significant, to achieve</w:t>
      </w:r>
      <w:r>
        <w:t xml:space="preserve"> </w:t>
      </w:r>
      <w:r>
        <w:rPr>
          <w:bCs/>
          <w:b/>
        </w:rPr>
        <w:t xml:space="preserve">at least 95% coverage for Scope 3 reporting as per 2026 requirements</w:t>
      </w:r>
      <w:r>
        <w:t xml:space="preserve">, a more granular analysis of all 15 Scope 3 categories would be required. This would include detailed assessment of categories like capital goods, waste generated in operations (beyond product EoL), business travel, employee commuting, leased assets, franchises, and investments if applicable to yurspnmioy\'s operations and value chain. For this high-level illustrative PCF, the primary upstream and downstream categories contributing to the product\'s footprint are covered, and it highlights the need for further detail to reach the 95% threshold.</w:t>
      </w:r>
    </w:p>
    <w:p>
      <w:r>
        <w:pict>
          <v:rect style="width:0;height:1.5pt" o:hralign="center" o:hrstd="t" o:hr="t"/>
        </w:pict>
      </w:r>
    </w:p>
    <w:bookmarkEnd w:id="45"/>
    <w:bookmarkEnd w:id="46"/>
    <w:bookmarkStart w:id="50" w:name="review-report"/>
    <w:p>
      <w:pPr>
        <w:pStyle w:val="Heading2"/>
      </w:pPr>
      <w:r>
        <w:t xml:space="preserve">5. Review &amp; Report</w:t>
      </w:r>
    </w:p>
    <w:bookmarkStart w:id="47" w:name="hotspot-identification"/>
    <w:p>
      <w:pPr>
        <w:pStyle w:val="Heading3"/>
      </w:pPr>
      <w:r>
        <w:t xml:space="preserve">5.1. Hotspot Identification</w:t>
      </w:r>
    </w:p>
    <w:p>
      <w:pPr>
        <w:pStyle w:val="FirstParagraph"/>
      </w:pPr>
      <w:r>
        <w:t xml:space="preserve">Based on the calculated emissions, the primary hotspots in the lifecycle of otpgqmdqym are:</w:t>
      </w:r>
    </w:p>
    <w:p>
      <w:pPr>
        <w:numPr>
          <w:ilvl w:val="0"/>
          <w:numId w:val="1012"/>
        </w:numPr>
        <w:pStyle w:val="Compact"/>
      </w:pPr>
      <w:r>
        <w:rPr>
          <w:bCs/>
          <w:b/>
        </w:rPr>
        <w:t xml:space="preserve">Transport (15.15 kg CO2e):</w:t>
      </w:r>
      <w:r>
        <w:t xml:space="preserve"> </w:t>
      </w:r>
      <w:r>
        <w:t xml:space="preserve">Particularly the last-mile delivery component, which contributes significantly due to potentially less efficient vehicle usage and longer cumulative distances for individual packages.</w:t>
      </w:r>
    </w:p>
    <w:p>
      <w:pPr>
        <w:numPr>
          <w:ilvl w:val="0"/>
          <w:numId w:val="1012"/>
        </w:numPr>
        <w:pStyle w:val="Compact"/>
      </w:pPr>
      <w:r>
        <w:rPr>
          <w:bCs/>
          <w:b/>
        </w:rPr>
        <w:t xml:space="preserve">Material Acquisition &amp; Pre-processing (10.91 kg CO2e):</w:t>
      </w:r>
      <w:r>
        <w:t xml:space="preserve"> </w:t>
      </w:r>
      <w:r>
        <w:t xml:space="preserve">Driven by energy-intensive materials like Aluminum and specialized electronic components.</w:t>
      </w:r>
    </w:p>
    <w:p>
      <w:pPr>
        <w:numPr>
          <w:ilvl w:val="0"/>
          <w:numId w:val="1012"/>
        </w:numPr>
        <w:pStyle w:val="Compact"/>
      </w:pPr>
      <w:r>
        <w:rPr>
          <w:bCs/>
          <w:b/>
        </w:rPr>
        <w:t xml:space="preserve">Use Phase (6.25 kg CO2e):</w:t>
      </w:r>
      <w:r>
        <w:t xml:space="preserve"> </w:t>
      </w:r>
      <w:r>
        <w:t xml:space="preserve">The cumulative energy consumption over the product\'s lifespan, depending on the energy mix of the end-user region.</w:t>
      </w:r>
    </w:p>
    <w:p>
      <w:pPr>
        <w:pStyle w:val="FirstParagraph"/>
      </w:pPr>
      <w:r>
        <w:t xml:space="preserve">These areas represent the most impactful opportunities for emission reduction strategies.</w:t>
      </w:r>
    </w:p>
    <w:bookmarkEnd w:id="47"/>
    <w:bookmarkStart w:id="48" w:name="reliability-assessment"/>
    <w:p>
      <w:pPr>
        <w:pStyle w:val="Heading3"/>
      </w:pPr>
      <w:r>
        <w:t xml:space="preserve">5.2. Reliability Assessment</w:t>
      </w:r>
    </w:p>
    <w:p>
      <w:pPr>
        <w:pStyle w:val="FirstParagraph"/>
      </w:pPr>
      <w:r>
        <w:t xml:space="preserve">The reliability of this PCF analysis is assessed as moderate to high, given the use of:</w:t>
      </w:r>
    </w:p>
    <w:p>
      <w:pPr>
        <w:numPr>
          <w:ilvl w:val="0"/>
          <w:numId w:val="1013"/>
        </w:numPr>
        <w:pStyle w:val="Compact"/>
      </w:pPr>
      <w:r>
        <w:t xml:space="preserve">Specific primary data for BOM (as represented by `xqsvkdpr` structure), energy intensity, renewable usage, lifespan, and EoL scenarios.</w:t>
      </w:r>
    </w:p>
    <w:p>
      <w:pPr>
        <w:numPr>
          <w:ilvl w:val="0"/>
          <w:numId w:val="1013"/>
        </w:numPr>
        <w:pStyle w:val="Compact"/>
      </w:pPr>
      <w:r>
        <w:t xml:space="preserve">Industry-standard secondary emission factors (Ecoinvent/DEFRA) for illustrative calculations.</w:t>
      </w:r>
    </w:p>
    <w:p>
      <w:pPr>
        <w:numPr>
          <w:ilvl w:val="0"/>
          <w:numId w:val="1013"/>
        </w:numPr>
        <w:pStyle w:val="Compact"/>
      </w:pPr>
      <w:r>
        <w:t xml:space="preserve">Adherence to the GHG Protocol Product Standard.</w:t>
      </w:r>
    </w:p>
    <w:p>
      <w:pPr>
        <w:pStyle w:val="FirstParagraph"/>
      </w:pPr>
      <w:r>
        <w:t xml:space="preserve">However, the reliance on illustrative data for several parameters (e.g., specific transport distances, exact emission factors for all processes, comprehensive Scope 1 details, and full 15 Scope 3 categories for 95% compliance) introduces a degree of uncertainty. To enhance reliability, further primary data collection for all value chain activities is recommended.</w:t>
      </w:r>
    </w:p>
    <w:bookmarkEnd w:id="48"/>
    <w:bookmarkStart w:id="49" w:name="recommendations-for-emission-reduction"/>
    <w:p>
      <w:pPr>
        <w:pStyle w:val="Heading3"/>
      </w:pPr>
      <w:r>
        <w:t xml:space="preserve">5.3. Recommendations for Emission Reduction</w:t>
      </w:r>
    </w:p>
    <w:p>
      <w:pPr>
        <w:pStyle w:val="FirstParagraph"/>
      </w:pPr>
      <w:r>
        <w:t xml:space="preserve">To reduce the carbon footprint of otpgqmdqym,</w:t>
      </w:r>
      <w:r>
        <w:t xml:space="preserve"> </w:t>
      </w:r>
      <w:r>
        <w:rPr>
          <w:bCs/>
          <w:b/>
        </w:rPr>
        <w:t xml:space="preserve">yurspnmioy</w:t>
      </w:r>
      <w:r>
        <w:t xml:space="preserve"> </w:t>
      </w:r>
      <w:r>
        <w:t xml:space="preserve">should consider:</w:t>
      </w:r>
    </w:p>
    <w:p>
      <w:pPr>
        <w:numPr>
          <w:ilvl w:val="0"/>
          <w:numId w:val="1014"/>
        </w:numPr>
        <w:pStyle w:val="Compact"/>
      </w:pPr>
      <w:r>
        <w:rPr>
          <w:bCs/>
          <w:b/>
        </w:rPr>
        <w:t xml:space="preserve">Material Optimization:</w:t>
      </w:r>
      <w:r>
        <w:t xml:space="preserve"> </w:t>
      </w:r>
      <w:r>
        <w:t xml:space="preserve">Explore lighter, lower-impact materials or those with higher recycled content. Optimize designs to reduce material usage. Engage with suppliers to source materials from regions with greener energy grids or lower impact processes.</w:t>
      </w:r>
    </w:p>
    <w:p>
      <w:pPr>
        <w:numPr>
          <w:ilvl w:val="0"/>
          <w:numId w:val="1014"/>
        </w:numPr>
        <w:pStyle w:val="Compact"/>
      </w:pPr>
      <w:r>
        <w:rPr>
          <w:bCs/>
          <w:b/>
        </w:rPr>
        <w:t xml:space="preserve">Supply Chain Logistics:</w:t>
      </w:r>
      <w:r>
        <w:t xml:space="preserve"> </w:t>
      </w:r>
      <w:r>
        <w:t xml:space="preserve">Optimize transportation routes and modes, prioritizing more efficient options like rail or sea freight where feasible for upstream and downstream distribution. Consolidate shipments to reduce last-mile delivery impacts.</w:t>
      </w:r>
    </w:p>
    <w:p>
      <w:pPr>
        <w:numPr>
          <w:ilvl w:val="0"/>
          <w:numId w:val="1014"/>
        </w:numPr>
        <w:pStyle w:val="Compact"/>
      </w:pPr>
      <w:r>
        <w:rPr>
          <w:bCs/>
          <w:b/>
        </w:rPr>
        <w:t xml:space="preserve">Manufacturing Efficiency:</w:t>
      </w:r>
      <w:r>
        <w:t xml:space="preserve"> </w:t>
      </w:r>
      <w:r>
        <w:t xml:space="preserve">Continue increasing renewable energy procurement (beyond 50%) at the production facility. Invest in energy-efficient machinery and processes to further reduce energy intensity.</w:t>
      </w:r>
    </w:p>
    <w:p>
      <w:pPr>
        <w:numPr>
          <w:ilvl w:val="0"/>
          <w:numId w:val="1014"/>
        </w:numPr>
        <w:pStyle w:val="Compact"/>
      </w:pPr>
      <w:r>
        <w:rPr>
          <w:bCs/>
          <w:b/>
        </w:rPr>
        <w:t xml:space="preserve">Use Phase Design:</w:t>
      </w:r>
      <w:r>
        <w:t xml:space="preserve"> </w:t>
      </w:r>
      <w:r>
        <w:t xml:space="preserve">Design products for greater energy efficiency during use. Promote sustainable user behavior through product information.</w:t>
      </w:r>
    </w:p>
    <w:p>
      <w:pPr>
        <w:numPr>
          <w:ilvl w:val="0"/>
          <w:numId w:val="1014"/>
        </w:numPr>
        <w:pStyle w:val="Compact"/>
      </w:pPr>
      <w:r>
        <w:rPr>
          <w:bCs/>
          <w:b/>
        </w:rPr>
        <w:t xml:space="preserve">Circular Economy Integration:</w:t>
      </w:r>
      <w:r>
        <w:t xml:space="preserve"> </w:t>
      </w:r>
      <w:r>
        <w:t xml:space="preserve">Strengthen and expand take-back and recycling programs (</w:t>
      </w:r>
      <w:r>
        <w:rPr>
          <w:bCs/>
          <w:b/>
        </w:rPr>
        <w:t xml:space="preserve">xithhnekpu</w:t>
      </w:r>
      <w:r>
        <w:t xml:space="preserve">) to maximize material recovery and reuse, minimizing landfill waste and maximizing avoided emissions from virgin material production. Target 100% recyclability where technically feasible.</w:t>
      </w:r>
    </w:p>
    <w:p>
      <w:pPr>
        <w:numPr>
          <w:ilvl w:val="0"/>
          <w:numId w:val="1014"/>
        </w:numPr>
        <w:pStyle w:val="Compact"/>
      </w:pPr>
      <w:r>
        <w:rPr>
          <w:bCs/>
          <w:b/>
        </w:rPr>
        <w:t xml:space="preserve">Detailed Scope 3 Analysis:</w:t>
      </w:r>
      <w:r>
        <w:t xml:space="preserve"> </w:t>
      </w:r>
      <w:r>
        <w:t xml:space="preserve">Conduct a comprehensive assessment of all 15 Scope 3 categories to meet and exceed the 95% coverage requirement, identifying latent emission sources.</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p>
    <w:bookmarkEnd w:id="49"/>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otpgqmdqym</dc:title>
  <dc:creator/>
  <dc:description>Detailed Product Carbon Footprint (PCF) analysis for otpgqmdqym by Senior Sustainability Consultant mqwyjddsku, adhering to GHG Protocol and 2026 LSR Update.</dc:description>
  <cp:keywords/>
  <dcterms:created xsi:type="dcterms:W3CDTF">2026-07-15T07:24:50Z</dcterms:created>
  <dcterms:modified xsi:type="dcterms:W3CDTF">2026-07-15T07:24:50Z</dcterms:modified>
</cp:coreProperties>
</file>

<file path=docProps/custom.xml><?xml version="1.0" encoding="utf-8"?>
<Properties xmlns="http://schemas.openxmlformats.org/officeDocument/2006/custom-properties" xmlns:vt="http://schemas.openxmlformats.org/officeDocument/2006/docPropsVTypes"/>
</file>