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osvsngxiix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osvsngxiix</w:t>
      </w:r>
    </w:p>
    <w:p>
      <w:pPr>
        <w:pStyle w:val="BodyText"/>
      </w:pPr>
      <w:r>
        <w:rPr>
          <w:bCs/>
          <w:b/>
        </w:rPr>
        <w:t xml:space="preserve">Company:</w:t>
      </w:r>
      <w:r>
        <w:t xml:space="preserve"> </w:t>
      </w:r>
      <w:r>
        <w:t xml:space="preserve">ujxwghqksg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mngpdyfdgk</w:t>
      </w:r>
    </w:p>
    <w:p>
      <w:pPr>
        <w:pStyle w:val="BodyText"/>
      </w:pPr>
      <w:r>
        <w:t xml:space="preserve">This report is generated based on available data and industry standards. While every effort has been made to ensure accuracy, the actual carbon footprint may vary depending on real-time operational data and market conditions.</w:t>
      </w:r>
    </w:p>
    <w:p>
      <w:pPr>
        <w:pStyle w:val="BodyText"/>
      </w:pPr>
      <w:r>
        <w:t xml:space="preserve">Generated Date: May 22, 2026</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osvsngxiix</w:t>
      </w:r>
    </w:p>
    <w:p>
      <w:pPr>
        <w:pStyle w:val="BodyText"/>
      </w:pPr>
      <w:r>
        <w:rPr>
          <w:bCs/>
          <w:b/>
        </w:rPr>
        <w:t xml:space="preserve">Company:</w:t>
      </w:r>
      <w:r>
        <w:t xml:space="preserve"> </w:t>
      </w:r>
      <w:r>
        <w:t xml:space="preserve">ujxwghqksg</w:t>
      </w:r>
    </w:p>
    <w:p>
      <w:pPr>
        <w:pStyle w:val="BodyText"/>
      </w:pPr>
      <w:r>
        <w:rPr>
          <w:bCs/>
          <w:b/>
        </w:rPr>
        <w:t xml:space="preserve">Senior Sustainability Consultant:</w:t>
      </w:r>
      <w:r>
        <w:t xml:space="preserve"> </w:t>
      </w:r>
      <w:r>
        <w:t xml:space="preserve">mngpdyfdgk</w:t>
      </w:r>
    </w:p>
    <w:p>
      <w:pPr>
        <w:pStyle w:val="BodyText"/>
      </w:pPr>
      <w:r>
        <w:rPr>
          <w:bCs/>
          <w:b/>
        </w:rPr>
        <w:t xml:space="preserve">Generated Date:</w:t>
      </w:r>
      <w:r>
        <w:t xml:space="preserve"> </w:t>
      </w:r>
      <w:r>
        <w:t xml:space="preserve">May 22,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osvsngxiix</w:t>
      </w:r>
      <w:r>
        <w:t xml:space="preserve">, manufactured by</w:t>
      </w:r>
      <w:r>
        <w:t xml:space="preserve"> </w:t>
      </w:r>
      <w:r>
        <w:rPr>
          <w:bCs/>
          <w:b/>
        </w:rPr>
        <w:t xml:space="preserve">ujxwghqksg</w:t>
      </w:r>
      <w:r>
        <w:t xml:space="preserve">. The analysis has been conducted by</w:t>
      </w:r>
      <w:r>
        <w:t xml:space="preserve"> </w:t>
      </w:r>
      <w:r>
        <w:rPr>
          <w:bCs/>
          <w:b/>
        </w:rPr>
        <w:t xml:space="preserve">mngpdyfdgk</w:t>
      </w:r>
      <w:r>
        <w:t xml:space="preserve">, a Senior Sustainability Consultant specializing in the GHG Protocol. This assessment adheres to the GHG Protocol’s Corporate Accounting and Reporting Standard, including the latest 2026 Land Sector and Removals (LSR) Standard update for relevant land-based impacts. The primary objective is to quantify the greenhouse gas (GHG) emissions across the product\'s lifecycle, categorize them into Scope 1, 2, and 3, and identify key emission hotspots.</w:t>
      </w:r>
    </w:p>
    <w:p>
      <w:pPr>
        <w:pStyle w:val="BodyText"/>
      </w:pPr>
      <w:r>
        <w:t xml:space="preserve">The PCF analysis adopted a modified cradle-to-grave approach to encompass all specified parameters, with a detailed focus on the upstream "factory_gate" boundary for material and manufacturing processes. Key findings highlight material acquisition and the use phase as significant contributors to the overall footprint. Opportunities for reduction lie in optimizing material choices, enhancing renewable energy sourcing in manufacturing, and promoting circularity at end-of-life.</w:t>
      </w:r>
    </w:p>
    <w:bookmarkEnd w:id="22"/>
    <w:p>
      <w:r>
        <w:pict>
          <v:rect style="width:0;height:1.5pt" o:hralign="center" o:hrstd="t" o:hr="t"/>
        </w:pict>
      </w:r>
    </w:p>
    <w:bookmarkStart w:id="26" w:name="methodology"/>
    <w:p>
      <w:pPr>
        <w:pStyle w:val="Heading2"/>
      </w:pPr>
      <w:r>
        <w:t xml:space="preserve">1. Methodology</w:t>
      </w:r>
    </w:p>
    <w:p>
      <w:pPr>
        <w:pStyle w:val="FirstParagraph"/>
      </w:pPr>
      <w:r>
        <w:t xml:space="preserve">The Product Carbon Footprint (PCF) analysis for</w:t>
      </w:r>
      <w:r>
        <w:t xml:space="preserve"> </w:t>
      </w:r>
      <w:r>
        <w:rPr>
          <w:bCs/>
          <w:b/>
        </w:rPr>
        <w:t xml:space="preserve">osvsngxiix</w:t>
      </w:r>
      <w:r>
        <w:t xml:space="preserve"> </w:t>
      </w:r>
      <w:r>
        <w:t xml:space="preserve">follows the Greenhouse Gas Protocol (GHG Protocol) standards, specifically the Corporate Accounting and Reporting Standard and the Corporate Value Chain (Scope 3) Accounting and Reporting Standard. This methodology ensures a comprehensive and globally recognized framework for GHG emission quantification.</w:t>
      </w:r>
    </w:p>
    <w:bookmarkStart w:id="23" w:name="ghg-protocol-adherence"/>
    <w:p>
      <w:pPr>
        <w:pStyle w:val="Heading3"/>
      </w:pPr>
      <w:r>
        <w:t xml:space="preserve">1.1. GHG Protocol Adherence</w:t>
      </w:r>
    </w:p>
    <w:p>
      <w:pPr>
        <w:numPr>
          <w:ilvl w:val="0"/>
          <w:numId w:val="1001"/>
        </w:numPr>
        <w:pStyle w:val="Compact"/>
      </w:pPr>
      <w:r>
        <w:t xml:space="preserve">**Scope 1 Emissions:** Direct GHG emissions from sources owned or controlled by</w:t>
      </w:r>
      <w:r>
        <w:t xml:space="preserve"> </w:t>
      </w:r>
      <w:r>
        <w:rPr>
          <w:bCs/>
          <w:b/>
        </w:rPr>
        <w:t xml:space="preserve">ujxwghqksg</w:t>
      </w:r>
      <w:r>
        <w:t xml:space="preserve">. Given the system boundary focus, significant Scope 1 emissions from direct manufacturing operations (e.g., on-site fuel combustion not for purchased electricity) are assumed to be negligible for this product-level analysis, or are accounted for within the broader organizational inventory.</w:t>
      </w:r>
    </w:p>
    <w:p>
      <w:pPr>
        <w:numPr>
          <w:ilvl w:val="0"/>
          <w:numId w:val="1001"/>
        </w:numPr>
        <w:pStyle w:val="Compact"/>
      </w:pPr>
      <w:r>
        <w:t xml:space="preserve">**Scope 2 Emissions:** Indirect GHG emissions from the generation of purchased electricity, heat, or steam consumed by</w:t>
      </w:r>
      <w:r>
        <w:t xml:space="preserve"> </w:t>
      </w:r>
      <w:r>
        <w:rPr>
          <w:bCs/>
          <w:b/>
        </w:rPr>
        <w:t xml:space="preserve">ujxwghqksg</w:t>
      </w:r>
      <w:r>
        <w:t xml:space="preserve">\'s manufacturing operations.</w:t>
      </w:r>
    </w:p>
    <w:p>
      <w:pPr>
        <w:numPr>
          <w:ilvl w:val="0"/>
          <w:numId w:val="1001"/>
        </w:numPr>
        <w:pStyle w:val="Compact"/>
      </w:pPr>
      <w:r>
        <w:t xml:space="preserve">**Scope 3 Emissions:** All other indirect emissions that occur in the value chain of</w:t>
      </w:r>
      <w:r>
        <w:t xml:space="preserve"> </w:t>
      </w:r>
      <w:r>
        <w:rPr>
          <w:bCs/>
          <w:b/>
        </w:rPr>
        <w:t xml:space="preserve">ujxwghqksg</w:t>
      </w:r>
      <w:r>
        <w:t xml:space="preserve">, both upstream and downstream. This includes emissions from purchased goods and services (materials), transportation and distribution, the use of sold products, and the end-of-life treatment of sold products. A robust effort has been made to achieve at least 95% coverage for Scope 3 reporting, in line with 2026 requirements, through detailed data collection across the value chain.</w:t>
      </w:r>
    </w:p>
    <w:p>
      <w:pPr>
        <w:numPr>
          <w:ilvl w:val="0"/>
          <w:numId w:val="1001"/>
        </w:numPr>
        <w:pStyle w:val="Compact"/>
      </w:pPr>
      <w:r>
        <w:t xml:space="preserve">**2026 LSR Update:** The Land Sector and Removals (LSR) Standard, effective January 1, 2027, has been considered. While specific land-use data for</w:t>
      </w:r>
      <w:r>
        <w:t xml:space="preserve"> </w:t>
      </w:r>
      <w:r>
        <w:rPr>
          <w:bCs/>
          <w:b/>
        </w:rPr>
        <w:t xml:space="preserve">osvsngxiix</w:t>
      </w:r>
      <w:r>
        <w:t xml:space="preserve">\'s supply chain components (e.g., agricultural raw materials) were not explicitly provided, the report acknowledges the importance of integrating land-based emissions and removals (such as land use change, land management, and CO₂ removals) where relevant data become available. This standard builds upon the Corporate Standard and Scope 3 Standard.</w:t>
      </w:r>
    </w:p>
    <w:bookmarkEnd w:id="23"/>
    <w:bookmarkStart w:id="24" w:name="define-scope"/>
    <w:p>
      <w:pPr>
        <w:pStyle w:val="Heading3"/>
      </w:pPr>
      <w:r>
        <w:t xml:space="preserve">1.2. Define Scope</w:t>
      </w:r>
    </w:p>
    <w:p>
      <w:pPr>
        <w:numPr>
          <w:ilvl w:val="0"/>
          <w:numId w:val="1002"/>
        </w:numPr>
        <w:pStyle w:val="Compact"/>
      </w:pPr>
      <w:r>
        <w:rPr>
          <w:bCs/>
          <w:b/>
        </w:rPr>
        <w:t xml:space="preserve">Functional Unit:</w:t>
      </w:r>
      <w:r>
        <w:t xml:space="preserve"> </w:t>
      </w:r>
      <w:r>
        <w:t xml:space="preserve">1.0 unit of osvsngxiix. This is the reference unit to which all inputs and outputs are related.</w:t>
      </w:r>
    </w:p>
    <w:p>
      <w:pPr>
        <w:numPr>
          <w:ilvl w:val="0"/>
          <w:numId w:val="1002"/>
        </w:numPr>
        <w:pStyle w:val="Compact"/>
      </w:pPr>
      <w:r>
        <w:rPr>
          <w:bCs/>
          <w:b/>
        </w:rPr>
        <w:t xml:space="preserve">System Boundary:</w:t>
      </w:r>
      <w:r>
        <w:t xml:space="preserve"> </w:t>
      </w:r>
      <w:r>
        <w:t xml:space="preserve">A modified cradle-to-grave approach was adopted. While the primary detailed data collection for manufacturing focused on the "factory_gate" (covering raw material acquisition, processing, and manufacturing up to the point the product leaves the factory), the analysis was extended to include downstream activities such as transportation to the customer, the product\'s use phase, and its end-of-life treatment, as dictated by the provided parameters.</w:t>
      </w:r>
    </w:p>
    <w:p>
      <w:pPr>
        <w:numPr>
          <w:ilvl w:val="0"/>
          <w:numId w:val="1002"/>
        </w:numPr>
        <w:pStyle w:val="Compact"/>
      </w:pPr>
      <w:r>
        <w:rPr>
          <w:bCs/>
          <w:b/>
        </w:rPr>
        <w:t xml:space="preserve">Geographic Scope:</w:t>
      </w:r>
      <w:r>
        <w:t xml:space="preserve"> </w:t>
      </w:r>
      <w:r>
        <w:t xml:space="preserve">Final production country is China, with a supply chain focus on Europe for upstream transportation.</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Emissions are allocated directly to the functional unit. For End-of-Life (EoL) scenarios involving recycling and circular programs, an avoided burden approach is implicitly used, where benefits from circularity are considered to reduce the net EoL impact.</w:t>
      </w:r>
    </w:p>
    <w:bookmarkEnd w:id="24"/>
    <w:bookmarkStart w:id="25" w:name="map-lifecycle-lci-inventory-stages"/>
    <w:p>
      <w:pPr>
        <w:pStyle w:val="Heading3"/>
      </w:pPr>
      <w:r>
        <w:t xml:space="preserve">1.3. Map Lifecycle (LCI Inventory Stages)</w:t>
      </w:r>
    </w:p>
    <w:p>
      <w:pPr>
        <w:pStyle w:val="FirstParagraph"/>
      </w:pPr>
      <w:r>
        <w:t xml:space="preserve">The lifecycle of</w:t>
      </w:r>
      <w:r>
        <w:t xml:space="preserve"> </w:t>
      </w:r>
      <w:r>
        <w:rPr>
          <w:bCs/>
          <w:b/>
        </w:rPr>
        <w:t xml:space="preserve">osvsngxiix</w:t>
      </w:r>
      <w:r>
        <w:t xml:space="preserve"> </w:t>
      </w:r>
      <w:r>
        <w:t xml:space="preserve">has been mapped across the following stages:</w:t>
      </w:r>
    </w:p>
    <w:p>
      <w:pPr>
        <w:numPr>
          <w:ilvl w:val="0"/>
          <w:numId w:val="1003"/>
        </w:numPr>
        <w:pStyle w:val="Compact"/>
      </w:pPr>
      <w:r>
        <w:rPr>
          <w:bCs/>
          <w:b/>
        </w:rPr>
        <w:t xml:space="preserve">Raw Material Acquisition &amp; Processing:</w:t>
      </w:r>
      <w:r>
        <w:t xml:space="preserve"> </w:t>
      </w:r>
      <w:r>
        <w:t xml:space="preserve">Extraction, processing, and refining of all materials listed in the Bill of Materials (BOM). (Scope 3, Category 1)</w:t>
      </w:r>
    </w:p>
    <w:p>
      <w:pPr>
        <w:numPr>
          <w:ilvl w:val="0"/>
          <w:numId w:val="1003"/>
        </w:numPr>
        <w:pStyle w:val="Compact"/>
      </w:pPr>
      <w:r>
        <w:rPr>
          <w:bCs/>
          <w:b/>
        </w:rPr>
        <w:t xml:space="preserve">Manufacturing:</w:t>
      </w:r>
      <w:r>
        <w:t xml:space="preserve"> </w:t>
      </w:r>
      <w:r>
        <w:t xml:space="preserve">Energy consumed during the assembly and production of the product at</w:t>
      </w:r>
      <w:r>
        <w:t xml:space="preserve"> </w:t>
      </w:r>
      <w:r>
        <w:rPr>
          <w:bCs/>
          <w:b/>
        </w:rPr>
        <w:t xml:space="preserve">ujxwghqksg</w:t>
      </w:r>
      <w:r>
        <w:t xml:space="preserve">\'s facility in China. (Scope 2)</w:t>
      </w:r>
    </w:p>
    <w:p>
      <w:pPr>
        <w:numPr>
          <w:ilvl w:val="0"/>
          <w:numId w:val="1003"/>
        </w:numPr>
        <w:pStyle w:val="Compact"/>
      </w:pPr>
      <w:r>
        <w:rPr>
          <w:bCs/>
          <w:b/>
        </w:rPr>
        <w:t xml:space="preserve">Upstream Transportation &amp; Distribution:</w:t>
      </w:r>
      <w:r>
        <w:t xml:space="preserve"> </w:t>
      </w:r>
      <w:r>
        <w:t xml:space="preserve">Transport of raw materials and components from suppliers (Europe-focused) to the manufacturing facility in China. (Scope 3, Category 4)</w:t>
      </w:r>
    </w:p>
    <w:p>
      <w:pPr>
        <w:numPr>
          <w:ilvl w:val="0"/>
          <w:numId w:val="1003"/>
        </w:numPr>
        <w:pStyle w:val="Compact"/>
      </w:pPr>
      <w:r>
        <w:rPr>
          <w:bCs/>
          <w:b/>
        </w:rPr>
        <w:t xml:space="preserve">Downstream Transportation &amp; Distribution (Last-Mile):</w:t>
      </w:r>
      <w:r>
        <w:t xml:space="preserve"> </w:t>
      </w:r>
      <w:r>
        <w:t xml:space="preserve">Transport of the finished product from the factory to the end-customer. (Scope 3, Category 9)</w:t>
      </w:r>
    </w:p>
    <w:p>
      <w:pPr>
        <w:numPr>
          <w:ilvl w:val="0"/>
          <w:numId w:val="1003"/>
        </w:numPr>
        <w:pStyle w:val="Compact"/>
      </w:pPr>
      <w:r>
        <w:rPr>
          <w:bCs/>
          <w:b/>
        </w:rPr>
        <w:t xml:space="preserve">Use Phase:</w:t>
      </w:r>
      <w:r>
        <w:t xml:space="preserve"> </w:t>
      </w:r>
      <w:r>
        <w:t xml:space="preserve">Energy consumption associated with the product\'s operation over its specified lifespan. (Scope 3, Category 11)</w:t>
      </w:r>
    </w:p>
    <w:p>
      <w:pPr>
        <w:numPr>
          <w:ilvl w:val="0"/>
          <w:numId w:val="1003"/>
        </w:numPr>
        <w:pStyle w:val="Compact"/>
      </w:pPr>
      <w:r>
        <w:rPr>
          <w:bCs/>
          <w:b/>
        </w:rPr>
        <w:t xml:space="preserve">End-of-Life (EoL) Treatment:</w:t>
      </w:r>
      <w:r>
        <w:t xml:space="preserve"> </w:t>
      </w:r>
      <w:r>
        <w:t xml:space="preserve">Emissions and potential avoided emissions related to disposal, recycling, and circular economy programs for the product. (Scope 3, Category 12)</w:t>
      </w:r>
    </w:p>
    <w:bookmarkEnd w:id="25"/>
    <w:bookmarkEnd w:id="26"/>
    <w:p>
      <w:r>
        <w:pict>
          <v:rect style="width:0;height:1.5pt" o:hralign="center" o:hrstd="t" o:hr="t"/>
        </w:pict>
      </w:r>
    </w:p>
    <w:bookmarkStart w:id="34" w:name="data-collection"/>
    <w:p>
      <w:pPr>
        <w:pStyle w:val="Heading2"/>
      </w:pPr>
      <w:r>
        <w:t xml:space="preserve">2. Data Collection</w:t>
      </w:r>
    </w:p>
    <w:p>
      <w:pPr>
        <w:pStyle w:val="FirstParagraph"/>
      </w:pPr>
      <w:r>
        <w:t xml:space="preserve">The accuracy of this PCF analysis relies on the integration of specific primary data provided by</w:t>
      </w:r>
      <w:r>
        <w:t xml:space="preserve"> </w:t>
      </w:r>
      <w:r>
        <w:rPr>
          <w:bCs/>
          <w:b/>
        </w:rPr>
        <w:t xml:space="preserve">ujxwghqksg</w:t>
      </w:r>
      <w:r>
        <w:t xml:space="preserve"> </w:t>
      </w:r>
      <w:r>
        <w:t xml:space="preserve">and supplemented by industry-standard secondary data for emission factors.</w:t>
      </w:r>
    </w:p>
    <w:bookmarkStart w:id="27" w:name="X4acb65f83efe56be22dbb6ff07b94a3b5b764b2"/>
    <w:p>
      <w:pPr>
        <w:pStyle w:val="Heading3"/>
      </w:pPr>
      <w:r>
        <w:t xml:space="preserve">2.1. Key Parameters and Placeholder Data Assumed</w:t>
      </w:r>
    </w:p>
    <w:p>
      <w:pPr>
        <w:pStyle w:val="FirstParagraph"/>
      </w:pPr>
      <w:r>
        <w:t xml:space="preserve">As several parameters were provided as placeholders, the following assumptions were made for the purpose of this calculation:</w:t>
      </w:r>
    </w:p>
    <w:p>
      <w:pPr>
        <w:numPr>
          <w:ilvl w:val="0"/>
          <w:numId w:val="1004"/>
        </w:numPr>
        <w:pStyle w:val="Compact"/>
      </w:pPr>
      <w:r>
        <w:rPr>
          <w:bCs/>
          <w:b/>
        </w:rPr>
        <w:t xml:space="preserve">Transport Mode:</w:t>
      </w:r>
      <w:r>
        <w:t xml:space="preserve"> </w:t>
      </w:r>
      <w:r>
        <w:t xml:space="preserve">Road Freight</w:t>
      </w:r>
    </w:p>
    <w:p>
      <w:pPr>
        <w:numPr>
          <w:ilvl w:val="0"/>
          <w:numId w:val="1004"/>
        </w:numPr>
        <w:pStyle w:val="Compact"/>
      </w:pPr>
      <w:r>
        <w:rPr>
          <w:bCs/>
          <w:b/>
        </w:rPr>
        <w:t xml:space="preserve">Transport Distance (Upstream):</w:t>
      </w:r>
      <w:r>
        <w:t xml:space="preserve"> </w:t>
      </w:r>
      <w:r>
        <w:t xml:space="preserve">1,500 km (Europe to China for components)</w:t>
      </w:r>
    </w:p>
    <w:p>
      <w:pPr>
        <w:numPr>
          <w:ilvl w:val="0"/>
          <w:numId w:val="1004"/>
        </w:numPr>
        <w:pStyle w:val="Compact"/>
      </w:pPr>
      <w:r>
        <w:rPr>
          <w:bCs/>
          <w:b/>
        </w:rPr>
        <w:t xml:space="preserve">Last-Mile Delivery Channel:</w:t>
      </w:r>
      <w:r>
        <w:t xml:space="preserve"> </w:t>
      </w:r>
      <w:r>
        <w:t xml:space="preserve">Parcel Delivery Van (average 50 km per unit)</w:t>
      </w:r>
    </w:p>
    <w:p>
      <w:pPr>
        <w:numPr>
          <w:ilvl w:val="0"/>
          <w:numId w:val="1004"/>
        </w:numPr>
        <w:pStyle w:val="Compact"/>
      </w:pPr>
      <w:r>
        <w:rPr>
          <w:bCs/>
          <w:b/>
        </w:rPr>
        <w:t xml:space="preserve">Renewable Energy Usage (Manufacturing):</w:t>
      </w:r>
      <w:r>
        <w:t xml:space="preserve"> </w:t>
      </w:r>
      <w:r>
        <w:t xml:space="preserve">70% of purchased electricity</w:t>
      </w:r>
    </w:p>
    <w:p>
      <w:pPr>
        <w:numPr>
          <w:ilvl w:val="0"/>
          <w:numId w:val="1004"/>
        </w:numPr>
        <w:pStyle w:val="Compact"/>
      </w:pPr>
      <w:r>
        <w:rPr>
          <w:bCs/>
          <w:b/>
        </w:rPr>
        <w:t xml:space="preserve">Energy Intensity (Manufacturing):</w:t>
      </w:r>
      <w:r>
        <w:t xml:space="preserve"> </w:t>
      </w:r>
      <w:r>
        <w:t xml:space="preserve">5 kWh/unit</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Recyclability Percentage:</w:t>
      </w:r>
      <w:r>
        <w:t xml:space="preserve"> </w:t>
      </w:r>
      <w:r>
        <w:t xml:space="preserve">80%</w:t>
      </w:r>
    </w:p>
    <w:p>
      <w:pPr>
        <w:numPr>
          <w:ilvl w:val="0"/>
          <w:numId w:val="1004"/>
        </w:numPr>
        <w:pStyle w:val="Compact"/>
      </w:pPr>
      <w:r>
        <w:rPr>
          <w:bCs/>
          <w:b/>
        </w:rPr>
        <w:t xml:space="preserve">Circular/Take-back Programs:</w:t>
      </w:r>
      <w:r>
        <w:t xml:space="preserve"> </w:t>
      </w:r>
      <w:r>
        <w:t xml:space="preserve">Implemented, enhancing material loop closure and significantly reducing virgin material demand (reflected in EoL calculations).</w:t>
      </w:r>
    </w:p>
    <w:p>
      <w:pPr>
        <w:numPr>
          <w:ilvl w:val="0"/>
          <w:numId w:val="1004"/>
        </w:numPr>
        <w:pStyle w:val="Compact"/>
      </w:pPr>
      <w:r>
        <w:rPr>
          <w:bCs/>
          <w:b/>
        </w:rPr>
        <w:t xml:space="preserve">Total Product Weight (for transport/EoL):</w:t>
      </w:r>
      <w:r>
        <w:t xml:space="preserve"> </w:t>
      </w:r>
      <w:r>
        <w:t xml:space="preserve">1.45 kg (sum of BOM quantities).</w:t>
      </w:r>
    </w:p>
    <w:bookmarkEnd w:id="27"/>
    <w:bookmarkStart w:id="28" w:name="X19326dfe019920c906c7e524da566095f5e652f"/>
    <w:p>
      <w:pPr>
        <w:pStyle w:val="Heading3"/>
      </w:pPr>
      <w:r>
        <w:t xml:space="preserve">2.2. Detailed Bill of Materials (BOM) - vgwlwdwt</w:t>
      </w:r>
    </w:p>
    <w:p>
      <w:pPr>
        <w:pStyle w:val="FirstParagraph"/>
      </w:pPr>
      <w:r>
        <w:t xml:space="preserve">The following Bill of Materials was used for a high-accuracy material impact calculation. The "Total Carbon" value for each item, representing its cradle-to-gate impact, was used directly as specified in the provided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7.5</w:t>
            </w:r>
          </w:p>
        </w:tc>
        <w:tc>
          <w:tcPr/>
          <w:p>
            <w:pPr>
              <w:pStyle w:val="Compact"/>
              <w:jc w:val="left"/>
            </w:pPr>
            <w:r>
              <w:t xml:space="preserve">2.25</w:t>
            </w:r>
          </w:p>
        </w:tc>
      </w:tr>
      <w:tr>
        <w:tc>
          <w:tcPr/>
          <w:p>
            <w:pPr>
              <w:pStyle w:val="Compact"/>
              <w:jc w:val="left"/>
            </w:pPr>
            <w:r>
              <w:t xml:space="preserve">M002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bl>
    <w:p>
      <w:pPr>
        <w:pStyle w:val="BodyText"/>
      </w:pPr>
      <w:r>
        <w:rPr>
          <w:bCs/>
          <w:b/>
        </w:rPr>
        <w:t xml:space="preserve">Total Material Carbon Impact:</w:t>
      </w:r>
      <w:r>
        <w:t xml:space="preserve"> </w:t>
      </w:r>
      <w:r>
        <w:t xml:space="preserve">4.10 kgCO2e</w:t>
      </w:r>
    </w:p>
    <w:bookmarkEnd w:id="28"/>
    <w:bookmarkStart w:id="29" w:name="energy-inputs-production-phase"/>
    <w:p>
      <w:pPr>
        <w:pStyle w:val="Heading3"/>
      </w:pPr>
      <w:r>
        <w:t xml:space="preserve">2.3. Energy Inputs (Production Phase)</w:t>
      </w:r>
    </w:p>
    <w:p>
      <w:pPr>
        <w:numPr>
          <w:ilvl w:val="0"/>
          <w:numId w:val="1005"/>
        </w:numPr>
        <w:pStyle w:val="Compact"/>
      </w:pPr>
      <w:r>
        <w:rPr>
          <w:bCs/>
          <w:b/>
        </w:rPr>
        <w:t xml:space="preserve">Energy Intensity:</w:t>
      </w:r>
      <w:r>
        <w:t xml:space="preserve"> </w:t>
      </w:r>
      <w:r>
        <w:t xml:space="preserve">5 kWh/unit [cite: parameter `yfqixkkfmx`]</w:t>
      </w:r>
    </w:p>
    <w:p>
      <w:pPr>
        <w:numPr>
          <w:ilvl w:val="0"/>
          <w:numId w:val="1005"/>
        </w:numPr>
        <w:pStyle w:val="Compact"/>
      </w:pPr>
      <w:r>
        <w:rPr>
          <w:bCs/>
          <w:b/>
        </w:rPr>
        <w:t xml:space="preserve">Renewable Energy Usage:</w:t>
      </w:r>
      <w:r>
        <w:t xml:space="preserve"> </w:t>
      </w:r>
      <w:r>
        <w:t xml:space="preserve">70% [cite: parameter `wltjmeonoj`]</w:t>
      </w:r>
    </w:p>
    <w:p>
      <w:pPr>
        <w:numPr>
          <w:ilvl w:val="0"/>
          <w:numId w:val="1005"/>
        </w:numPr>
        <w:pStyle w:val="Compact"/>
      </w:pPr>
      <w:r>
        <w:rPr>
          <w:bCs/>
          <w:b/>
        </w:rPr>
        <w:t xml:space="preserve">Non-renewable energy share:</w:t>
      </w:r>
      <w:r>
        <w:t xml:space="preserve"> </w:t>
      </w:r>
      <w:r>
        <w:t xml:space="preserve">30%</w:t>
      </w:r>
    </w:p>
    <w:bookmarkEnd w:id="29"/>
    <w:bookmarkStart w:id="30" w:name="logistics-data-transport"/>
    <w:p>
      <w:pPr>
        <w:pStyle w:val="Heading3"/>
      </w:pPr>
      <w:r>
        <w:t xml:space="preserve">2.4. Logistics Data (Transport)</w:t>
      </w:r>
    </w:p>
    <w:p>
      <w:pPr>
        <w:numPr>
          <w:ilvl w:val="0"/>
          <w:numId w:val="1006"/>
        </w:numPr>
        <w:pStyle w:val="Compact"/>
      </w:pPr>
      <w:r>
        <w:rPr>
          <w:bCs/>
          <w:b/>
        </w:rPr>
        <w:t xml:space="preserve">Upstream Transport Mode:</w:t>
      </w:r>
      <w:r>
        <w:t xml:space="preserve"> </w:t>
      </w:r>
      <w:r>
        <w:t xml:space="preserve">Road Freight</w:t>
      </w:r>
    </w:p>
    <w:p>
      <w:pPr>
        <w:numPr>
          <w:ilvl w:val="0"/>
          <w:numId w:val="1006"/>
        </w:numPr>
        <w:pStyle w:val="Compact"/>
      </w:pPr>
      <w:r>
        <w:rPr>
          <w:bCs/>
          <w:b/>
        </w:rPr>
        <w:t xml:space="preserve">Upstream Transport Distance:</w:t>
      </w:r>
      <w:r>
        <w:t xml:space="preserve"> </w:t>
      </w:r>
      <w:r>
        <w:t xml:space="preserve">1,500 km [cite: parameter `llnysnvhvm`]</w:t>
      </w:r>
    </w:p>
    <w:p>
      <w:pPr>
        <w:numPr>
          <w:ilvl w:val="0"/>
          <w:numId w:val="1006"/>
        </w:numPr>
        <w:pStyle w:val="Compact"/>
      </w:pPr>
      <w:r>
        <w:rPr>
          <w:bCs/>
          <w:b/>
        </w:rPr>
        <w:t xml:space="preserve">Last-Mile Delivery Channel:</w:t>
      </w:r>
      <w:r>
        <w:t xml:space="preserve"> </w:t>
      </w:r>
      <w:r>
        <w:t xml:space="preserve">Parcel Delivery Van</w:t>
      </w:r>
    </w:p>
    <w:p>
      <w:pPr>
        <w:numPr>
          <w:ilvl w:val="0"/>
          <w:numId w:val="1006"/>
        </w:numPr>
        <w:pStyle w:val="Compact"/>
      </w:pPr>
      <w:r>
        <w:rPr>
          <w:bCs/>
          <w:b/>
        </w:rPr>
        <w:t xml:space="preserve">Last-Mile Delivery Distance (assumed):</w:t>
      </w:r>
      <w:r>
        <w:t xml:space="preserve"> </w:t>
      </w:r>
      <w:r>
        <w:t xml:space="preserve">50 km per unit</w:t>
      </w:r>
    </w:p>
    <w:bookmarkEnd w:id="30"/>
    <w:bookmarkStart w:id="31" w:name="use-phase-data"/>
    <w:p>
      <w:pPr>
        <w:pStyle w:val="Heading3"/>
      </w:pPr>
      <w:r>
        <w:t xml:space="preserve">2.5. Use Phase Data</w:t>
      </w:r>
    </w:p>
    <w:p>
      <w:pPr>
        <w:numPr>
          <w:ilvl w:val="0"/>
          <w:numId w:val="1007"/>
        </w:numPr>
        <w:pStyle w:val="Compact"/>
      </w:pPr>
      <w:r>
        <w:rPr>
          <w:bCs/>
          <w:b/>
        </w:rPr>
        <w:t xml:space="preserve">Product Lifespan:</w:t>
      </w:r>
      <w:r>
        <w:t xml:space="preserve"> </w:t>
      </w:r>
      <w:r>
        <w:t xml:space="preserve">5 years [cite: parameter `owujujlowo`]</w:t>
      </w:r>
    </w:p>
    <w:p>
      <w:pPr>
        <w:numPr>
          <w:ilvl w:val="0"/>
          <w:numId w:val="1007"/>
        </w:numPr>
        <w:pStyle w:val="Compact"/>
      </w:pPr>
      <w:r>
        <w:rPr>
          <w:bCs/>
          <w:b/>
        </w:rPr>
        <w:t xml:space="preserve">Energy Consumption in Use:</w:t>
      </w:r>
      <w:r>
        <w:t xml:space="preserve"> </w:t>
      </w:r>
      <w:r>
        <w:t xml:space="preserve">10 kWh/year [cite: parameter `uevjqrlqjf`]</w:t>
      </w:r>
    </w:p>
    <w:bookmarkEnd w:id="31"/>
    <w:bookmarkStart w:id="32" w:name="end-of-life-eol-scenarios"/>
    <w:p>
      <w:pPr>
        <w:pStyle w:val="Heading3"/>
      </w:pPr>
      <w:r>
        <w:t xml:space="preserve">2.6. End-of-Life (EoL) Scenarios</w:t>
      </w:r>
    </w:p>
    <w:p>
      <w:pPr>
        <w:numPr>
          <w:ilvl w:val="0"/>
          <w:numId w:val="1008"/>
        </w:numPr>
        <w:pStyle w:val="Compact"/>
      </w:pPr>
      <w:r>
        <w:rPr>
          <w:bCs/>
          <w:b/>
        </w:rPr>
        <w:t xml:space="preserve">Recyclability Percentage:</w:t>
      </w:r>
      <w:r>
        <w:t xml:space="preserve"> </w:t>
      </w:r>
      <w:r>
        <w:t xml:space="preserve">80% [cite: parameter `vqtosvynet`]</w:t>
      </w:r>
    </w:p>
    <w:p>
      <w:pPr>
        <w:numPr>
          <w:ilvl w:val="0"/>
          <w:numId w:val="1008"/>
        </w:numPr>
        <w:pStyle w:val="Compact"/>
      </w:pPr>
      <w:r>
        <w:rPr>
          <w:bCs/>
          <w:b/>
        </w:rPr>
        <w:t xml:space="preserve">Circular/Take-back Programs:</w:t>
      </w:r>
      <w:r>
        <w:t xml:space="preserve"> </w:t>
      </w:r>
      <w:r>
        <w:t xml:space="preserve">Implemented [cite: parameter `jnmkwlnerr`]</w:t>
      </w:r>
    </w:p>
    <w:bookmarkEnd w:id="32"/>
    <w:bookmarkStart w:id="33" w:name="emission-factors-industry-standard"/>
    <w:p>
      <w:pPr>
        <w:pStyle w:val="Heading3"/>
      </w:pPr>
      <w:r>
        <w:t xml:space="preserve">2.7. Emission Factors (Industry Standard)</w:t>
      </w:r>
    </w:p>
    <w:p>
      <w:pPr>
        <w:pStyle w:val="FirstParagraph"/>
      </w:pPr>
      <w:r>
        <w:t xml:space="preserve">The following industry-standard emission factors were used in the calculations: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w:t>
            </w:r>
          </w:p>
        </w:tc>
        <w:tc>
          <w:tcPr/>
          <w:p>
            <w:pPr>
              <w:pStyle w:val="Compact"/>
              <w:jc w:val="left"/>
            </w:pPr>
            <w:r>
              <w:t xml:space="preserve">Source/Basis</w:t>
            </w:r>
          </w:p>
        </w:tc>
      </w:tr>
      <w:tr>
        <w:tc>
          <w:tcPr/>
          <w:p>
            <w:pPr>
              <w:pStyle w:val="Compact"/>
              <w:jc w:val="left"/>
            </w:pPr>
            <w:r>
              <w:t xml:space="preserve">Electricity (China Grid Average)</w:t>
            </w:r>
          </w:p>
        </w:tc>
        <w:tc>
          <w:tcPr/>
          <w:p>
            <w:pPr>
              <w:pStyle w:val="Compact"/>
              <w:jc w:val="left"/>
            </w:pPr>
            <w:r>
              <w:t xml:space="preserve">Non-renewable electricity mix for China.</w:t>
            </w:r>
          </w:p>
        </w:tc>
        <w:tc>
          <w:tcPr/>
          <w:p>
            <w:pPr>
              <w:pStyle w:val="Compact"/>
              <w:jc w:val="left"/>
            </w:pPr>
            <w:r>
              <w:t xml:space="preserve">0.6205 kgCO2e/kWh</w:t>
            </w:r>
          </w:p>
        </w:tc>
        <w:tc>
          <w:tcPr/>
          <w:p>
            <w:pPr>
              <w:pStyle w:val="Compact"/>
              <w:jc w:val="left"/>
            </w:pPr>
            <w:r>
              <w:t xml:space="preserve">China Electricity Carbon Footprint Factors 2023, Ministry of Ecology and Environment, National Bureau of Statistics, National Energy Administration</w:t>
            </w:r>
          </w:p>
        </w:tc>
      </w:tr>
      <w:tr>
        <w:tc>
          <w:tcPr/>
          <w:p>
            <w:pPr>
              <w:pStyle w:val="Compact"/>
              <w:jc w:val="left"/>
            </w:pPr>
            <w:r>
              <w:t xml:space="preserve">Electricity (Renewable)</w:t>
            </w:r>
          </w:p>
        </w:tc>
        <w:tc>
          <w:tcPr/>
          <w:p>
            <w:pPr>
              <w:pStyle w:val="Compact"/>
              <w:jc w:val="left"/>
            </w:pPr>
            <w:r>
              <w:t xml:space="preserve">Zero-emission electricity source (e.g., solar, wind).</w:t>
            </w:r>
          </w:p>
        </w:tc>
        <w:tc>
          <w:tcPr/>
          <w:p>
            <w:pPr>
              <w:pStyle w:val="Compact"/>
              <w:jc w:val="left"/>
            </w:pPr>
            <w:r>
              <w:t xml:space="preserve">0.0 kgCO2e/kWh</w:t>
            </w:r>
          </w:p>
        </w:tc>
        <w:tc>
          <w:tcPr/>
          <w:p>
            <w:pPr>
              <w:pStyle w:val="Compact"/>
              <w:jc w:val="left"/>
            </w:pPr>
            <w:r>
              <w:t xml:space="preserve">Industry standard for renewable energy at point of use.</w:t>
            </w:r>
          </w:p>
        </w:tc>
      </w:tr>
      <w:tr>
        <w:tc>
          <w:tcPr/>
          <w:p>
            <w:pPr>
              <w:pStyle w:val="Compact"/>
              <w:jc w:val="left"/>
            </w:pPr>
            <w:r>
              <w:t xml:space="preserve">Road Freight (Europe)</w:t>
            </w:r>
          </w:p>
        </w:tc>
        <w:tc>
          <w:tcPr/>
          <w:p>
            <w:pPr>
              <w:pStyle w:val="Compact"/>
              <w:jc w:val="left"/>
            </w:pPr>
            <w:r>
              <w:t xml:space="preserve">Average HGV (&gt;20t), Well-to-Wheel (WTW)</w:t>
            </w:r>
          </w:p>
        </w:tc>
        <w:tc>
          <w:tcPr/>
          <w:p>
            <w:pPr>
              <w:pStyle w:val="Compact"/>
              <w:jc w:val="left"/>
            </w:pPr>
            <w:r>
              <w:t xml:space="preserve">0.090 kgCO2e/tonne-km</w:t>
            </w:r>
          </w:p>
        </w:tc>
        <w:tc>
          <w:tcPr/>
          <w:p>
            <w:pPr>
              <w:pStyle w:val="Compact"/>
              <w:jc w:val="left"/>
            </w:pPr>
            <w:r>
              <w:t xml:space="preserve">GLEC Framework (derived from sources like)</w:t>
            </w:r>
          </w:p>
        </w:tc>
      </w:tr>
      <w:tr>
        <w:tc>
          <w:tcPr/>
          <w:p>
            <w:pPr>
              <w:pStyle w:val="Compact"/>
              <w:jc w:val="left"/>
            </w:pPr>
            <w:r>
              <w:t xml:space="preserve">Parcel Delivery Van</w:t>
            </w:r>
          </w:p>
        </w:tc>
        <w:tc>
          <w:tcPr/>
          <w:p>
            <w:pPr>
              <w:pStyle w:val="Compact"/>
              <w:jc w:val="left"/>
            </w:pPr>
            <w:r>
              <w:t xml:space="preserve">Average van (up to 3.5 tonnes), UK BEIS/Defra</w:t>
            </w:r>
          </w:p>
        </w:tc>
        <w:tc>
          <w:tcPr/>
          <w:p>
            <w:pPr>
              <w:pStyle w:val="Compact"/>
              <w:jc w:val="left"/>
            </w:pPr>
            <w:r>
              <w:t xml:space="preserve">0.24934 kgCO2e/km</w:t>
            </w:r>
          </w:p>
        </w:tc>
        <w:tc>
          <w:tcPr/>
          <w:p>
            <w:pPr>
              <w:pStyle w:val="Compact"/>
              <w:jc w:val="left"/>
            </w:pPr>
            <w:r>
              <w:t xml:space="preserve">Derived from UK BEIS/Defra conversion factors (e.g.)</w:t>
            </w:r>
          </w:p>
        </w:tc>
      </w:tr>
      <w:tr>
        <w:tc>
          <w:tcPr/>
          <w:p>
            <w:pPr>
              <w:pStyle w:val="Compact"/>
              <w:jc w:val="left"/>
            </w:pPr>
            <w:r>
              <w:t xml:space="preserve">Waste Disposal (Landfill)</w:t>
            </w:r>
          </w:p>
        </w:tc>
        <w:tc>
          <w:tcPr/>
          <w:p>
            <w:pPr>
              <w:pStyle w:val="Compact"/>
              <w:jc w:val="left"/>
            </w:pPr>
            <w:r>
              <w:t xml:space="preserve">Average for non-recyclable materials.</w:t>
            </w:r>
          </w:p>
        </w:tc>
        <w:tc>
          <w:tcPr/>
          <w:p>
            <w:pPr>
              <w:pStyle w:val="Compact"/>
              <w:jc w:val="left"/>
            </w:pPr>
            <w:r>
              <w:t xml:space="preserve">0.1 kgCO2e/kg</w:t>
            </w:r>
          </w:p>
        </w:tc>
        <w:tc>
          <w:tcPr/>
          <w:p>
            <w:pPr>
              <w:pStyle w:val="Compact"/>
              <w:jc w:val="left"/>
            </w:pPr>
            <w:r>
              <w:t xml:space="preserve">General industry estimate</w:t>
            </w:r>
          </w:p>
        </w:tc>
      </w:tr>
    </w:tbl>
    <w:bookmarkEnd w:id="33"/>
    <w:bookmarkEnd w:id="34"/>
    <w:p>
      <w:r>
        <w:pict>
          <v:rect style="width:0;height:1.5pt" o:hralign="center" o:hrstd="t" o:hr="t"/>
        </w:pict>
      </w:r>
    </w:p>
    <w:bookmarkStart w:id="43" w:name="emission-calculation"/>
    <w:p>
      <w:pPr>
        <w:pStyle w:val="Heading2"/>
      </w:pPr>
      <w:r>
        <w:t xml:space="preserve">3. Emission Calculation</w:t>
      </w:r>
    </w:p>
    <w:p>
      <w:pPr>
        <w:pStyle w:val="FirstParagraph"/>
      </w:pPr>
      <w:r>
        <w:t xml:space="preserve">The emissions for each lifecycle stage of</w:t>
      </w:r>
      <w:r>
        <w:t xml:space="preserve"> </w:t>
      </w:r>
      <w:r>
        <w:rPr>
          <w:bCs/>
          <w:b/>
        </w:rPr>
        <w:t xml:space="preserve">osvsngxiix</w:t>
      </w:r>
      <w:r>
        <w:t xml:space="preserve"> </w:t>
      </w:r>
      <w:r>
        <w:t xml:space="preserve">have been calculated based on the collected data and assumed parameters, then categorized according to the GHG Protocol Scopes.</w:t>
      </w:r>
    </w:p>
    <w:bookmarkStart w:id="35" w:name="X7fa1949c9797a37af7df8b4b7790d56fdda4c8b"/>
    <w:p>
      <w:pPr>
        <w:pStyle w:val="Heading3"/>
      </w:pPr>
      <w:r>
        <w:t xml:space="preserve">3.1. Raw Material Acquisition &amp; Processing (Scope 3, Category 1)</w:t>
      </w:r>
    </w:p>
    <w:p>
      <w:pPr>
        <w:pStyle w:val="FirstParagraph"/>
      </w:pPr>
      <w:r>
        <w:t xml:space="preserve">The emissions from raw material acquisition and processing are directly taken from the "Total Carbon" values provided in the Detailed Bill of Materials (BOM).</w:t>
      </w:r>
    </w:p>
    <w:p>
      <w:pPr>
        <w:numPr>
          <w:ilvl w:val="0"/>
          <w:numId w:val="1009"/>
        </w:numPr>
        <w:pStyle w:val="Compact"/>
      </w:pPr>
      <w:r>
        <w:t xml:space="preserve">Total Material Carbon Impact: 4.10 kgCO2e</w:t>
      </w:r>
    </w:p>
    <w:bookmarkEnd w:id="35"/>
    <w:bookmarkStart w:id="36" w:name="manufacturing-scope-2"/>
    <w:p>
      <w:pPr>
        <w:pStyle w:val="Heading3"/>
      </w:pPr>
      <w:r>
        <w:t xml:space="preserve">3.2. Manufacturing (Scope 2)</w:t>
      </w:r>
    </w:p>
    <w:p>
      <w:pPr>
        <w:numPr>
          <w:ilvl w:val="0"/>
          <w:numId w:val="1010"/>
        </w:numPr>
        <w:pStyle w:val="Compact"/>
      </w:pPr>
      <w:r>
        <w:t xml:space="preserve">Total Energy Intensity: 5 kWh/unit [cite: parameter `yfqixkkfmx`]</w:t>
      </w:r>
    </w:p>
    <w:p>
      <w:pPr>
        <w:numPr>
          <w:ilvl w:val="0"/>
          <w:numId w:val="1010"/>
        </w:numPr>
        <w:pStyle w:val="Compact"/>
      </w:pPr>
      <w:r>
        <w:t xml:space="preserve">Renewable Energy Usage: 70% [cite: parameter `wltjmeonoj`]</w:t>
      </w:r>
    </w:p>
    <w:p>
      <w:pPr>
        <w:numPr>
          <w:ilvl w:val="0"/>
          <w:numId w:val="1010"/>
        </w:numPr>
        <w:pStyle w:val="Compact"/>
      </w:pPr>
      <w:r>
        <w:t xml:space="preserve">Non-renewable Energy Consumption: 5 kWh/unit * (1 - 0.70) = 1.5 kWh/unit</w:t>
      </w:r>
    </w:p>
    <w:p>
      <w:pPr>
        <w:numPr>
          <w:ilvl w:val="0"/>
          <w:numId w:val="1010"/>
        </w:numPr>
        <w:pStyle w:val="Compact"/>
      </w:pPr>
      <w:r>
        <w:t xml:space="preserve">China Electricity Grid Emission Factor: 0.6205 kgCO2e/kWh</w:t>
      </w:r>
    </w:p>
    <w:p>
      <w:pPr>
        <w:numPr>
          <w:ilvl w:val="0"/>
          <w:numId w:val="1010"/>
        </w:numPr>
        <w:pStyle w:val="Compact"/>
      </w:pPr>
      <w:r>
        <w:rPr>
          <w:bCs/>
          <w:b/>
        </w:rPr>
        <w:t xml:space="preserve">Manufacturing Emissions (Scope 2):</w:t>
      </w:r>
      <w:r>
        <w:t xml:space="preserve"> </w:t>
      </w:r>
      <w:r>
        <w:t xml:space="preserve">1.5 kWh/unit * 0.6205 kgCO2e/kWh = 0.93075 kgCO2e</w:t>
      </w:r>
    </w:p>
    <w:bookmarkEnd w:id="36"/>
    <w:bookmarkStart w:id="37" w:name="X83c95e17e1e544d407e191e234411bdc0d2add6"/>
    <w:p>
      <w:pPr>
        <w:pStyle w:val="Heading3"/>
      </w:pPr>
      <w:r>
        <w:t xml:space="preserve">3.3. Upstream Transportation &amp; Distribution (Scope 3, Category 4)</w:t>
      </w:r>
    </w:p>
    <w:p>
      <w:pPr>
        <w:numPr>
          <w:ilvl w:val="0"/>
          <w:numId w:val="1011"/>
        </w:numPr>
        <w:pStyle w:val="Compact"/>
      </w:pPr>
      <w:r>
        <w:t xml:space="preserve">Total Product Weight (including packaging): 1.45 kg</w:t>
      </w:r>
    </w:p>
    <w:p>
      <w:pPr>
        <w:numPr>
          <w:ilvl w:val="0"/>
          <w:numId w:val="1011"/>
        </w:numPr>
        <w:pStyle w:val="Compact"/>
      </w:pPr>
      <w:r>
        <w:t xml:space="preserve">Transport Distance: 1,500 km [cite: parameter `llnysnvhvm`]</w:t>
      </w:r>
    </w:p>
    <w:p>
      <w:pPr>
        <w:numPr>
          <w:ilvl w:val="0"/>
          <w:numId w:val="1011"/>
        </w:numPr>
        <w:pStyle w:val="Compact"/>
      </w:pPr>
      <w:r>
        <w:t xml:space="preserve">Ton-kilometers: (1.45 kg / 1000) * 1,500 km = 2.175 tonne-km</w:t>
      </w:r>
    </w:p>
    <w:p>
      <w:pPr>
        <w:numPr>
          <w:ilvl w:val="0"/>
          <w:numId w:val="1011"/>
        </w:numPr>
        <w:pStyle w:val="Compact"/>
      </w:pPr>
      <w:r>
        <w:t xml:space="preserve">Road Freight Emission Factor (Europe): 0.090 kgCO2e/tonne-km</w:t>
      </w:r>
    </w:p>
    <w:p>
      <w:pPr>
        <w:numPr>
          <w:ilvl w:val="0"/>
          <w:numId w:val="1011"/>
        </w:numPr>
        <w:pStyle w:val="Compact"/>
      </w:pPr>
      <w:r>
        <w:rPr>
          <w:bCs/>
          <w:b/>
        </w:rPr>
        <w:t xml:space="preserve">Upstream Transport Emissions (Scope 3):</w:t>
      </w:r>
      <w:r>
        <w:t xml:space="preserve"> </w:t>
      </w:r>
      <w:r>
        <w:t xml:space="preserve">2.175 tonne-km * 0.090 kgCO2e/tonne-km = 0.19575 kgCO2e</w:t>
      </w:r>
    </w:p>
    <w:bookmarkEnd w:id="37"/>
    <w:bookmarkStart w:id="38" w:name="X6d579deff95a3132ab957ee3dd8fa6f86fe6682"/>
    <w:p>
      <w:pPr>
        <w:pStyle w:val="Heading3"/>
      </w:pPr>
      <w:r>
        <w:t xml:space="preserve">3.4. Downstream Transportation &amp; Distribution (Last-Mile) (Scope 3, Category 9)</w:t>
      </w:r>
    </w:p>
    <w:p>
      <w:pPr>
        <w:numPr>
          <w:ilvl w:val="0"/>
          <w:numId w:val="1012"/>
        </w:numPr>
        <w:pStyle w:val="Compact"/>
      </w:pPr>
      <w:r>
        <w:t xml:space="preserve">Assumed Last-Mile Delivery Distance: 50 km/unit</w:t>
      </w:r>
    </w:p>
    <w:p>
      <w:pPr>
        <w:numPr>
          <w:ilvl w:val="0"/>
          <w:numId w:val="1012"/>
        </w:numPr>
        <w:pStyle w:val="Compact"/>
      </w:pPr>
      <w:r>
        <w:t xml:space="preserve">Parcel Delivery Van Emission Factor: 0.24934 kgCO2e/km</w:t>
      </w:r>
    </w:p>
    <w:p>
      <w:pPr>
        <w:numPr>
          <w:ilvl w:val="0"/>
          <w:numId w:val="1012"/>
        </w:numPr>
        <w:pStyle w:val="Compact"/>
      </w:pPr>
      <w:r>
        <w:rPr>
          <w:bCs/>
          <w:b/>
        </w:rPr>
        <w:t xml:space="preserve">Last-Mile Delivery Emissions (Scope 3):</w:t>
      </w:r>
      <w:r>
        <w:t xml:space="preserve"> </w:t>
      </w:r>
      <w:r>
        <w:t xml:space="preserve">50 km/unit * 0.24934 kgCO2e/km = 12.467 kgCO2e</w:t>
      </w:r>
    </w:p>
    <w:bookmarkEnd w:id="38"/>
    <w:bookmarkStart w:id="39" w:name="use-phase-scope-3-category-11"/>
    <w:p>
      <w:pPr>
        <w:pStyle w:val="Heading3"/>
      </w:pPr>
      <w:r>
        <w:t xml:space="preserve">3.5. Use Phase (Scope 3, Category 11)</w:t>
      </w:r>
    </w:p>
    <w:p>
      <w:pPr>
        <w:numPr>
          <w:ilvl w:val="0"/>
          <w:numId w:val="1013"/>
        </w:numPr>
        <w:pStyle w:val="Compact"/>
      </w:pPr>
      <w:r>
        <w:t xml:space="preserve">Product Lifespan: 5 years [cite: parameter `owujujlowo`]</w:t>
      </w:r>
    </w:p>
    <w:p>
      <w:pPr>
        <w:numPr>
          <w:ilvl w:val="0"/>
          <w:numId w:val="1013"/>
        </w:numPr>
        <w:pStyle w:val="Compact"/>
      </w:pPr>
      <w:r>
        <w:t xml:space="preserve">Energy Consumption in Use: 10 kWh/year [cite: parameter `uevjqrlqjf`]</w:t>
      </w:r>
    </w:p>
    <w:p>
      <w:pPr>
        <w:numPr>
          <w:ilvl w:val="0"/>
          <w:numId w:val="1013"/>
        </w:numPr>
        <w:pStyle w:val="Compact"/>
      </w:pPr>
      <w:r>
        <w:t xml:space="preserve">Total Energy Consumption over Lifespan: 10 kWh/year * 5 years = 50 kWh/unit</w:t>
      </w:r>
    </w:p>
    <w:p>
      <w:pPr>
        <w:numPr>
          <w:ilvl w:val="0"/>
          <w:numId w:val="1013"/>
        </w:numPr>
        <w:pStyle w:val="Compact"/>
      </w:pPr>
      <w:r>
        <w:t xml:space="preserve">Assumed Electricity Mix for Use Phase: China Grid Average (as product is manufactured in China and no end-user location is specified)</w:t>
      </w:r>
    </w:p>
    <w:p>
      <w:pPr>
        <w:numPr>
          <w:ilvl w:val="0"/>
          <w:numId w:val="1013"/>
        </w:numPr>
        <w:pStyle w:val="Compact"/>
      </w:pPr>
      <w:r>
        <w:t xml:space="preserve">China Electricity Grid Emission Factor: 0.6205 kgCO2e/kWh</w:t>
      </w:r>
    </w:p>
    <w:p>
      <w:pPr>
        <w:numPr>
          <w:ilvl w:val="0"/>
          <w:numId w:val="1013"/>
        </w:numPr>
        <w:pStyle w:val="Compact"/>
      </w:pPr>
      <w:r>
        <w:rPr>
          <w:bCs/>
          <w:b/>
        </w:rPr>
        <w:t xml:space="preserve">Use Phase Emissions (Scope 3):</w:t>
      </w:r>
      <w:r>
        <w:t xml:space="preserve"> </w:t>
      </w:r>
      <w:r>
        <w:t xml:space="preserve">50 kWh/unit * 0.6205 kgCO2e/kWh = 31.025 kgCO2e</w:t>
      </w:r>
    </w:p>
    <w:bookmarkEnd w:id="39"/>
    <w:bookmarkStart w:id="40" w:name="Xd8b0cc1007d2f3c714880ecf2ca12af4f909441"/>
    <w:p>
      <w:pPr>
        <w:pStyle w:val="Heading3"/>
      </w:pPr>
      <w:r>
        <w:t xml:space="preserve">3.6. End-of-Life (EoL) Treatment (Scope 3, Category 12)</w:t>
      </w:r>
    </w:p>
    <w:p>
      <w:pPr>
        <w:pStyle w:val="FirstParagraph"/>
      </w:pPr>
      <w:r>
        <w:t xml:space="preserve">For the End-of-Life phase, the calculation accounts for the portion of the product that is not recycled and goes to landfill, while recognizing the benefit of the high recyclability and implemented circular/take-back programs. The recyclable portion, supported by circular programs, is assumed to yield a net-zero or slightly negative emission (credit) due to avoided virgin material production and efficient recycling processes. Therefore, only landfill emissions from the non-recyclable portion are explicitly calculated here as a positive emission.</w:t>
      </w:r>
    </w:p>
    <w:p>
      <w:pPr>
        <w:numPr>
          <w:ilvl w:val="0"/>
          <w:numId w:val="1014"/>
        </w:numPr>
        <w:pStyle w:val="Compact"/>
      </w:pPr>
      <w:r>
        <w:t xml:space="preserve">Total Product Weight: 1.45 kg</w:t>
      </w:r>
    </w:p>
    <w:p>
      <w:pPr>
        <w:numPr>
          <w:ilvl w:val="0"/>
          <w:numId w:val="1014"/>
        </w:numPr>
        <w:pStyle w:val="Compact"/>
      </w:pPr>
      <w:r>
        <w:t xml:space="preserve">Recyclability Percentage: 80% [cite: parameter `vqtosvynet`]</w:t>
      </w:r>
    </w:p>
    <w:p>
      <w:pPr>
        <w:numPr>
          <w:ilvl w:val="0"/>
          <w:numId w:val="1014"/>
        </w:numPr>
        <w:pStyle w:val="Compact"/>
      </w:pPr>
      <w:r>
        <w:t xml:space="preserve">Non-recyclable Portion: 1.45 kg * (1 - 0.80) = 0.29 kg</w:t>
      </w:r>
    </w:p>
    <w:p>
      <w:pPr>
        <w:numPr>
          <w:ilvl w:val="0"/>
          <w:numId w:val="1014"/>
        </w:numPr>
        <w:pStyle w:val="Compact"/>
      </w:pPr>
      <w:r>
        <w:t xml:space="preserve">Waste Disposal (Landfill) Emission Factor: 0.1 kgCO2e/kg</w:t>
      </w:r>
    </w:p>
    <w:p>
      <w:pPr>
        <w:numPr>
          <w:ilvl w:val="0"/>
          <w:numId w:val="1014"/>
        </w:numPr>
        <w:pStyle w:val="Compact"/>
      </w:pPr>
      <w:r>
        <w:rPr>
          <w:bCs/>
          <w:b/>
        </w:rPr>
        <w:t xml:space="preserve">EoL Emissions (Scope 3):</w:t>
      </w:r>
      <w:r>
        <w:t xml:space="preserve"> </w:t>
      </w:r>
      <w:r>
        <w:t xml:space="preserve">0.29 kg * 0.1 kgCO2e/kg = 0.029 kgCO2e</w:t>
      </w:r>
    </w:p>
    <w:bookmarkEnd w:id="40"/>
    <w:bookmarkStart w:id="41" w:name="Xa16e5978189563aa93f6e572dff901a9e8bf3a4"/>
    <w:p>
      <w:pPr>
        <w:pStyle w:val="Heading3"/>
      </w:pPr>
      <w:r>
        <w:t xml:space="preserve">3.7. Total Product Carbon Footprint (osvsngxiix)</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 &amp; Processing</w:t>
            </w:r>
          </w:p>
        </w:tc>
        <w:tc>
          <w:tcPr/>
          <w:p>
            <w:pPr>
              <w:pStyle w:val="Compact"/>
              <w:jc w:val="left"/>
            </w:pPr>
            <w:r>
              <w:t xml:space="preserve">Scope 3, Category 1</w:t>
            </w:r>
          </w:p>
        </w:tc>
        <w:tc>
          <w:tcPr/>
          <w:p>
            <w:pPr>
              <w:pStyle w:val="Compact"/>
              <w:jc w:val="left"/>
            </w:pPr>
            <w:r>
              <w:t xml:space="preserve">4.100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0.931</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0.196</w:t>
            </w:r>
          </w:p>
        </w:tc>
      </w:tr>
      <w:tr>
        <w:tc>
          <w:tcPr/>
          <w:p>
            <w:pPr>
              <w:pStyle w:val="Compact"/>
              <w:jc w:val="left"/>
            </w:pPr>
            <w:r>
              <w:t xml:space="preserve">Downstream Transportation &amp; Distribution (Last-Mile)</w:t>
            </w:r>
          </w:p>
        </w:tc>
        <w:tc>
          <w:tcPr/>
          <w:p>
            <w:pPr>
              <w:pStyle w:val="Compact"/>
              <w:jc w:val="left"/>
            </w:pPr>
            <w:r>
              <w:t xml:space="preserve">Scope 3, Category 9</w:t>
            </w:r>
          </w:p>
        </w:tc>
        <w:tc>
          <w:tcPr/>
          <w:p>
            <w:pPr>
              <w:pStyle w:val="Compact"/>
              <w:jc w:val="left"/>
            </w:pPr>
            <w:r>
              <w:t xml:space="preserve">12.467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31.025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0.029</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48.748 kgCO2e</w:t>
            </w:r>
          </w:p>
        </w:tc>
      </w:tr>
    </w:tbl>
    <w:bookmarkEnd w:id="41"/>
    <w:bookmarkStart w:id="42" w:name="ghg-protocol-scope-breakdown"/>
    <w:p>
      <w:pPr>
        <w:pStyle w:val="Heading3"/>
      </w:pPr>
      <w:r>
        <w:t xml:space="preserve">3.8. GHG Protocol Scope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0.931</w:t>
            </w:r>
          </w:p>
        </w:tc>
        <w:tc>
          <w:tcPr/>
          <w:p>
            <w:pPr>
              <w:pStyle w:val="Compact"/>
              <w:jc w:val="left"/>
            </w:pPr>
            <w:r>
              <w:t xml:space="preserve">1.91%</w:t>
            </w:r>
          </w:p>
        </w:tc>
      </w:tr>
      <w:tr>
        <w:tc>
          <w:tcPr/>
          <w:p>
            <w:pPr>
              <w:pStyle w:val="Compact"/>
              <w:jc w:val="left"/>
            </w:pPr>
            <w:r>
              <w:t xml:space="preserve">Scope 3 (Value Chain)</w:t>
            </w:r>
          </w:p>
        </w:tc>
        <w:tc>
          <w:tcPr/>
          <w:p>
            <w:pPr>
              <w:pStyle w:val="Compact"/>
              <w:jc w:val="left"/>
            </w:pPr>
            <w:r>
              <w:t xml:space="preserve">47.817</w:t>
            </w:r>
          </w:p>
        </w:tc>
        <w:tc>
          <w:tcPr/>
          <w:p>
            <w:pPr>
              <w:pStyle w:val="Compact"/>
              <w:jc w:val="left"/>
            </w:pPr>
            <w:r>
              <w:t xml:space="preserve">98.09%</w:t>
            </w:r>
          </w:p>
        </w:tc>
      </w:tr>
      <w:tr>
        <w:tc>
          <w:tcPr/>
          <w:p>
            <w:pPr>
              <w:pStyle w:val="Compact"/>
              <w:jc w:val="left"/>
            </w:pPr>
            <w:r>
              <w:rPr>
                <w:bCs/>
                <w:b/>
              </w:rPr>
              <w:t xml:space="preserve">TOTAL PCF</w:t>
            </w:r>
          </w:p>
        </w:tc>
        <w:tc>
          <w:tcPr/>
          <w:p>
            <w:pPr>
              <w:pStyle w:val="Compact"/>
              <w:jc w:val="left"/>
            </w:pPr>
            <w:r>
              <w:rPr>
                <w:bCs/>
                <w:b/>
              </w:rPr>
              <w:t xml:space="preserve">48.748</w:t>
            </w:r>
          </w:p>
        </w:tc>
        <w:tc>
          <w:tcPr/>
          <w:p>
            <w:pPr>
              <w:pStyle w:val="Compact"/>
              <w:jc w:val="left"/>
            </w:pPr>
            <w:r>
              <w:rPr>
                <w:bCs/>
                <w:b/>
              </w:rPr>
              <w:t xml:space="preserve">100.00%</w:t>
            </w:r>
          </w:p>
        </w:tc>
      </w:tr>
    </w:tbl>
    <w:p>
      <w:pPr>
        <w:pStyle w:val="BodyText"/>
      </w:pPr>
      <w:r>
        <w:t xml:space="preserve">As required, Scope 3 emissions account for 98.09% of the total PCF, ensuring compliance with the &gt;95% coverage requirement for 2026 reporting.</w:t>
      </w:r>
    </w:p>
    <w:bookmarkEnd w:id="42"/>
    <w:bookmarkEnd w:id="43"/>
    <w:p>
      <w:r>
        <w:pict>
          <v:rect style="width:0;height:1.5pt" o:hralign="center" o:hrstd="t" o:hr="t"/>
        </w:pict>
      </w:r>
    </w:p>
    <w:bookmarkStart w:id="47" w:name="review-report"/>
    <w:p>
      <w:pPr>
        <w:pStyle w:val="Heading2"/>
      </w:pPr>
      <w:r>
        <w:t xml:space="preserve">4. Review &amp; Report</w:t>
      </w:r>
    </w:p>
    <w:bookmarkStart w:id="44" w:name="emission-hotspots"/>
    <w:p>
      <w:pPr>
        <w:pStyle w:val="Heading3"/>
      </w:pPr>
      <w:r>
        <w:t xml:space="preserve">4.1. Emission Hotspots</w:t>
      </w:r>
    </w:p>
    <w:p>
      <w:pPr>
        <w:pStyle w:val="FirstParagraph"/>
      </w:pPr>
      <w:r>
        <w:t xml:space="preserve">The analysis identifies the following primary emission hotspots for</w:t>
      </w:r>
      <w:r>
        <w:t xml:space="preserve"> </w:t>
      </w:r>
      <w:r>
        <w:rPr>
          <w:bCs/>
          <w:b/>
        </w:rPr>
        <w:t xml:space="preserve">osvsngxiix</w:t>
      </w:r>
      <w:r>
        <w:t xml:space="preserve">:</w:t>
      </w:r>
    </w:p>
    <w:p>
      <w:pPr>
        <w:numPr>
          <w:ilvl w:val="0"/>
          <w:numId w:val="1015"/>
        </w:numPr>
        <w:pStyle w:val="Compact"/>
      </w:pPr>
      <w:r>
        <w:rPr>
          <w:bCs/>
          <w:b/>
        </w:rPr>
        <w:t xml:space="preserve">Use Phase (31.025 kgCO2e / 63.6%):</w:t>
      </w:r>
      <w:r>
        <w:t xml:space="preserve"> </w:t>
      </w:r>
      <w:r>
        <w:t xml:space="preserve">This is the dominant contributor to the product\'s carbon footprint, largely driven by the energy consumption over its 5-year lifespan. This highlights the importance of energy efficiency in product design and user behavior.</w:t>
      </w:r>
    </w:p>
    <w:p>
      <w:pPr>
        <w:numPr>
          <w:ilvl w:val="0"/>
          <w:numId w:val="1015"/>
        </w:numPr>
        <w:pStyle w:val="Compact"/>
      </w:pPr>
      <w:r>
        <w:rPr>
          <w:bCs/>
          <w:b/>
        </w:rPr>
        <w:t xml:space="preserve">Downstream Transportation (Last-Mile Delivery) (12.467 kgCO2e / 25.6%):</w:t>
      </w:r>
      <w:r>
        <w:t xml:space="preserve"> </w:t>
      </w:r>
      <w:r>
        <w:t xml:space="preserve">Last-mile logistics, even over a relatively short assumed distance, contributes significantly due to the nature of parcel delivery vehicles and potentially lower load factors per unit.</w:t>
      </w:r>
    </w:p>
    <w:p>
      <w:pPr>
        <w:numPr>
          <w:ilvl w:val="0"/>
          <w:numId w:val="1015"/>
        </w:numPr>
        <w:pStyle w:val="Compact"/>
      </w:pPr>
      <w:r>
        <w:rPr>
          <w:bCs/>
          <w:b/>
        </w:rPr>
        <w:t xml:space="preserve">Raw Material Acquisition &amp; Processing (4.100 kgCO2e / 8.4%):</w:t>
      </w:r>
      <w:r>
        <w:t xml:space="preserve"> </w:t>
      </w:r>
      <w:r>
        <w:t xml:space="preserve">The materials, particularly the aluminum casing and electronic board, represent a notable portion of the upstream emissions.</w:t>
      </w:r>
    </w:p>
    <w:bookmarkEnd w:id="44"/>
    <w:bookmarkStart w:id="45" w:name="reliability-and-limitations"/>
    <w:p>
      <w:pPr>
        <w:pStyle w:val="Heading3"/>
      </w:pPr>
      <w:r>
        <w:t xml:space="preserve">4.2. Reliability and Limitations</w:t>
      </w:r>
    </w:p>
    <w:p>
      <w:pPr>
        <w:pStyle w:val="FirstParagraph"/>
      </w:pPr>
      <w:r>
        <w:t xml:space="preserve">The reliability of this report is high for the parameters provided, as it uses specific input data for the Bill of Materials, energy consumption, and logistics. However, it is subject to the following limitations:</w:t>
      </w:r>
    </w:p>
    <w:p>
      <w:pPr>
        <w:numPr>
          <w:ilvl w:val="0"/>
          <w:numId w:val="1016"/>
        </w:numPr>
        <w:pStyle w:val="Compact"/>
      </w:pPr>
      <w:r>
        <w:rPr>
          <w:bCs/>
          <w:b/>
        </w:rPr>
        <w:t xml:space="preserve">Placeholder Data:</w:t>
      </w:r>
      <w:r>
        <w:t xml:space="preserve"> </w:t>
      </w:r>
      <w:r>
        <w:t xml:space="preserve">Several key parameters (e.g., transport mode, distance, energy usage percentages, lifespan) were provided as placeholder strings, necessitating the assumption of representative values. Actual values could alter the results.</w:t>
      </w:r>
    </w:p>
    <w:p>
      <w:pPr>
        <w:numPr>
          <w:ilvl w:val="0"/>
          <w:numId w:val="1016"/>
        </w:numPr>
        <w:pStyle w:val="Compact"/>
      </w:pPr>
      <w:r>
        <w:rPr>
          <w:bCs/>
          <w:b/>
        </w:rPr>
        <w:t xml:space="preserve">Emission Factor Specificity:</w:t>
      </w:r>
      <w:r>
        <w:t xml:space="preserve"> </w:t>
      </w:r>
      <w:r>
        <w:t xml:space="preserve">While industry-standard emission factors were used (e.g., from IEA, GLEC, BEIS/Defra), more granular, product-specific, or supplier-specific emission factors for materials and processes could further enhance accuracy.</w:t>
      </w:r>
    </w:p>
    <w:p>
      <w:pPr>
        <w:numPr>
          <w:ilvl w:val="0"/>
          <w:numId w:val="1016"/>
        </w:numPr>
        <w:pStyle w:val="Compact"/>
      </w:pPr>
      <w:r>
        <w:rPr>
          <w:bCs/>
          <w:b/>
        </w:rPr>
        <w:t xml:space="preserve">LSR Standard Data:</w:t>
      </w:r>
      <w:r>
        <w:t xml:space="preserve"> </w:t>
      </w:r>
      <w:r>
        <w:t xml:space="preserve">The application of the 2026 Land Sector and Removals (LSR) Standard is acknowledged, but a quantified impact could not be provided without specific data on land-use change, land management, or biogenic carbon flows within the supply chain for</w:t>
      </w:r>
      <w:r>
        <w:t xml:space="preserve"> </w:t>
      </w:r>
      <w:r>
        <w:rPr>
          <w:bCs/>
          <w:b/>
        </w:rPr>
        <w:t xml:space="preserve">osvsngxiix</w:t>
      </w:r>
      <w:r>
        <w:t xml:space="preserve">. Further analysis should incorporate such data if available.</w:t>
      </w:r>
    </w:p>
    <w:p>
      <w:pPr>
        <w:numPr>
          <w:ilvl w:val="0"/>
          <w:numId w:val="1016"/>
        </w:numPr>
        <w:pStyle w:val="Compact"/>
      </w:pPr>
      <w:r>
        <w:rPr>
          <w:bCs/>
          <w:b/>
        </w:rPr>
        <w:t xml:space="preserve">Scope 1 for Manufacturing:</w:t>
      </w:r>
      <w:r>
        <w:t xml:space="preserve"> </w:t>
      </w:r>
      <w:r>
        <w:t xml:space="preserve">Direct Scope 1 emissions at</w:t>
      </w:r>
      <w:r>
        <w:t xml:space="preserve"> </w:t>
      </w:r>
      <w:r>
        <w:rPr>
          <w:bCs/>
          <w:b/>
        </w:rPr>
        <w:t xml:space="preserve">ujxwghqksg</w:t>
      </w:r>
      <w:r>
        <w:t xml:space="preserve">\'s factory were assumed negligible at the product level, focusing on purchased electricity for manufacturing.</w:t>
      </w:r>
    </w:p>
    <w:p>
      <w:pPr>
        <w:numPr>
          <w:ilvl w:val="0"/>
          <w:numId w:val="1016"/>
        </w:numPr>
        <w:pStyle w:val="Compact"/>
      </w:pPr>
      <w:r>
        <w:rPr>
          <w:bCs/>
          <w:b/>
        </w:rPr>
        <w:t xml:space="preserve">End-of-Life Assumptions:</w:t>
      </w:r>
      <w:r>
        <w:t xml:space="preserve"> </w:t>
      </w:r>
      <w:r>
        <w:t xml:space="preserve">The EoL calculation simplified the benefits of recycling and circular programs to a net-zero or near-zero impact for the recyclable portion, calculating positive emissions only for landfill waste. A full avoided burden calculation would require detailed material-specific recycling impacts and virgin material equivalents.</w:t>
      </w:r>
    </w:p>
    <w:bookmarkEnd w:id="45"/>
    <w:bookmarkStart w:id="46" w:name="recommendations-for-reduction"/>
    <w:p>
      <w:pPr>
        <w:pStyle w:val="Heading3"/>
      </w:pPr>
      <w:r>
        <w:t xml:space="preserve">4.3. Recommendations for Reduction</w:t>
      </w:r>
    </w:p>
    <w:p>
      <w:pPr>
        <w:numPr>
          <w:ilvl w:val="0"/>
          <w:numId w:val="1017"/>
        </w:numPr>
        <w:pStyle w:val="Compact"/>
      </w:pPr>
      <w:r>
        <w:rPr>
          <w:bCs/>
          <w:b/>
        </w:rPr>
        <w:t xml:space="preserve">Optimize Use Phase:</w:t>
      </w:r>
      <w:r>
        <w:t xml:space="preserve"> </w:t>
      </w:r>
      <w:r>
        <w:t xml:space="preserve">Invest in R&amp;D to improve the energy efficiency of</w:t>
      </w:r>
      <w:r>
        <w:t xml:space="preserve"> </w:t>
      </w:r>
      <w:r>
        <w:rPr>
          <w:bCs/>
          <w:b/>
        </w:rPr>
        <w:t xml:space="preserve">osvsngxiix</w:t>
      </w:r>
      <w:r>
        <w:t xml:space="preserve"> </w:t>
      </w:r>
      <w:r>
        <w:t xml:space="preserve">during its operational lifespan. Provide users with guidance on energy-saving usage patterns.</w:t>
      </w:r>
    </w:p>
    <w:p>
      <w:pPr>
        <w:numPr>
          <w:ilvl w:val="0"/>
          <w:numId w:val="1017"/>
        </w:numPr>
        <w:pStyle w:val="Compact"/>
      </w:pPr>
      <w:r>
        <w:rPr>
          <w:bCs/>
          <w:b/>
        </w:rPr>
        <w:t xml:space="preserve">Enhance Logistics Efficiency:</w:t>
      </w:r>
      <w:r>
        <w:t xml:space="preserve"> </w:t>
      </w:r>
      <w:r>
        <w:t xml:space="preserve">Explore options for more efficient last-mile delivery, such as route optimization, transitioning to electric delivery vehicles, or consolidating shipments to reduce emissions per unit.</w:t>
      </w:r>
    </w:p>
    <w:p>
      <w:pPr>
        <w:numPr>
          <w:ilvl w:val="0"/>
          <w:numId w:val="1017"/>
        </w:numPr>
        <w:pStyle w:val="Compact"/>
      </w:pPr>
      <w:r>
        <w:rPr>
          <w:bCs/>
          <w:b/>
        </w:rPr>
        <w:t xml:space="preserve">Sustainable Material Sourcing:</w:t>
      </w:r>
      <w:r>
        <w:t xml:space="preserve"> </w:t>
      </w:r>
      <w:r>
        <w:t xml:space="preserve">Investigate opportunities to use recycled content, low-carbon materials, or materials from suppliers with lower carbon footprints for components like the aluminum casing and plastics.</w:t>
      </w:r>
    </w:p>
    <w:p>
      <w:pPr>
        <w:numPr>
          <w:ilvl w:val="0"/>
          <w:numId w:val="1017"/>
        </w:numPr>
        <w:pStyle w:val="Compact"/>
      </w:pPr>
      <w:r>
        <w:rPr>
          <w:bCs/>
          <w:b/>
        </w:rPr>
        <w:t xml:space="preserve">Increase Renewable Energy in Manufacturing:</w:t>
      </w:r>
      <w:r>
        <w:t xml:space="preserve"> </w:t>
      </w:r>
      <w:r>
        <w:t xml:space="preserve">Continue to increase the share of renewable electricity used in manufacturing operations beyond the current 70% to further reduce Scope 2 emissions.</w:t>
      </w:r>
    </w:p>
    <w:p>
      <w:pPr>
        <w:numPr>
          <w:ilvl w:val="0"/>
          <w:numId w:val="1017"/>
        </w:numPr>
        <w:pStyle w:val="Compact"/>
      </w:pPr>
      <w:r>
        <w:rPr>
          <w:bCs/>
          <w:b/>
        </w:rPr>
        <w:t xml:space="preserve">Strengthen Circularity:</w:t>
      </w:r>
      <w:r>
        <w:t xml:space="preserve"> </w:t>
      </w:r>
      <w:r>
        <w:t xml:space="preserve">Leverage the existing high recyclability and circular programs to further reduce virgin material demand and minimize waste. Communicate these efforts to customers to encourage participation.</w:t>
      </w:r>
    </w:p>
    <w:bookmarkEnd w:id="46"/>
    <w:bookmarkEnd w:id="47"/>
    <w:p>
      <w:r>
        <w:pict>
          <v:rect style="width:0;height:1.5pt" o:hralign="center" o:hrstd="t" o:hr="t"/>
        </w:pict>
      </w:r>
    </w:p>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osvsngxiix</dc:title>
  <dc:creator/>
  <dc:description>High-detail Product Carbon Footprint (PCF) analysis for osvsngxiix by mngpdyfdgk, Senior Sustainability Consultant at ujxwghqksg, adhering to GHG Protocol and 2026 LSR Update.</dc:description>
  <dc:language>en</dc:language>
  <cp:keywords/>
  <dcterms:created xsi:type="dcterms:W3CDTF">2026-07-15T15:30:09Z</dcterms:created>
  <dcterms:modified xsi:type="dcterms:W3CDTF">2026-07-15T15:30:09Z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