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osedglgopt</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osedglgopt"/>
    <w:p>
      <w:pPr>
        <w:pStyle w:val="Heading2"/>
      </w:pPr>
      <w:r>
        <w:t xml:space="preserve">For Product: osedglgopt</w:t>
      </w:r>
    </w:p>
    <w:p>
      <w:pPr>
        <w:pStyle w:val="FirstParagraph"/>
      </w:pPr>
      <w:r>
        <w:rPr>
          <w:bCs/>
          <w:b/>
        </w:rPr>
        <w:t xml:space="preserve">Company Name:</w:t>
      </w:r>
      <w:r>
        <w:t xml:space="preserve"> </w:t>
      </w:r>
      <w:r>
        <w:t xml:space="preserve">kgdwuxoxow</w:t>
      </w:r>
    </w:p>
    <w:p>
      <w:pPr>
        <w:pStyle w:val="BodyText"/>
      </w:pPr>
      <w:r>
        <w:rPr>
          <w:bCs/>
          <w:b/>
        </w:rPr>
        <w:t xml:space="preserve">Senior Sustainability Consultant:</w:t>
      </w:r>
      <w:r>
        <w:t xml:space="preserve"> </w:t>
      </w:r>
      <w:r>
        <w:t xml:space="preserve">skeqiifpqp</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The calculations presented are illustrative, utilizing example values where specific data</w:t>
      </w:r>
      <w:r>
        <w:t xml:space="preserve"> </w:t>
      </w:r>
      <w:r>
        <w:t xml:space="preserve">placeholders were provided, and should be verified with primary data for precise results.</w:t>
      </w:r>
    </w:p>
    <w:p>
      <w:pPr>
        <w:pStyle w:val="BodyText"/>
      </w:pPr>
      <w:r>
        <w:t xml:space="preserve">Generated Date: June 4, 2026</w:t>
      </w:r>
    </w:p>
    <w:bookmarkEnd w:id="20"/>
    <w:bookmarkEnd w:id="21"/>
    <w:p>
      <w:pPr>
        <w:pStyle w:val="BodyText"/>
      </w:pPr>
      <w:r>
        <w:t xml:space="preserve">Product Carbon Footprint Report - osedglgopt | Generated Date: June 4, 2026</w:t>
      </w:r>
    </w:p>
    <w:bookmarkStart w:id="44" w:name="executive-summary"/>
    <w:p>
      <w:pPr>
        <w:pStyle w:val="Heading1"/>
      </w:pPr>
      <w:r>
        <w:t xml:space="preserve">Executive Summary</w:t>
      </w:r>
    </w:p>
    <w:p>
      <w:pPr>
        <w:pStyle w:val="FirstParagraph"/>
      </w:pPr>
      <w:r>
        <w:t xml:space="preserve">This report presents a high-detail Product Carbon Footprint (PCF) analysis for \'osedglgopt\' manufactured by \'kgdwuxoxow\', conducted by Senior Sustainability Consultant \'skeqiifpqp\'. The analysis adheres strictly to the GHG Protocol, incorporating the latest 2026 Land Sector and Removals (LSR) Standard and aiming for over 95% Scope 3 coverage. The primary goal is to identify greenhouse gas (GHG) emission hotspots across the product\'s lifecycle, from raw material extraction to end-of-life, providing a foundation for targeted reduction strategies. The functional unit for this study is 1.0 unit of \'osedglgopt\'.</w:t>
      </w:r>
    </w:p>
    <w:p>
      <w:r>
        <w:pict>
          <v:rect style="width:0;height:1.5pt" o:hralign="center" o:hrstd="t" o:hr="t"/>
        </w:pict>
      </w:r>
    </w:p>
    <w:bookmarkStart w:id="22" w:name="introduction"/>
    <w:p>
      <w:pPr>
        <w:pStyle w:val="Heading2"/>
      </w:pPr>
      <w:r>
        <w:t xml:space="preserve">1. Introduction</w:t>
      </w:r>
    </w:p>
    <w:p>
      <w:pPr>
        <w:pStyle w:val="FirstParagraph"/>
      </w:pPr>
      <w:r>
        <w:t xml:space="preserve">The imperative for businesses to understand and mitigate their environmental impact, particularly regarding climate change, is growing. A Product Carbon Footprint (PCF) analysis quantifies the total greenhouse gas (GHG) emissions associated with a product throughout its entire life cycle. This report details the PCF for \'osedglgopt\', providing insights into its environmental performance and highlighting areas for improvement for \'kgdwuxoxow\'.</w:t>
      </w:r>
    </w:p>
    <w:p>
      <w:pPr>
        <w:pStyle w:val="BodyText"/>
      </w:pPr>
      <w:r>
        <w:rPr>
          <w:bCs/>
          <w:b/>
        </w:rPr>
        <w:t xml:space="preserve">Product:</w:t>
      </w:r>
      <w:r>
        <w:t xml:space="preserve"> </w:t>
      </w:r>
      <w:r>
        <w:t xml:space="preserve">osedglgopt</w:t>
      </w:r>
    </w:p>
    <w:p>
      <w:pPr>
        <w:pStyle w:val="BodyText"/>
      </w:pPr>
      <w:r>
        <w:rPr>
          <w:bCs/>
          <w:b/>
        </w:rPr>
        <w:t xml:space="preserve">Company:</w:t>
      </w:r>
      <w:r>
        <w:t xml:space="preserve"> </w:t>
      </w:r>
      <w:r>
        <w:t xml:space="preserve">kgdwuxoxow</w:t>
      </w:r>
    </w:p>
    <w:p>
      <w:pPr>
        <w:pStyle w:val="BodyText"/>
      </w:pPr>
      <w:r>
        <w:rPr>
          <w:bCs/>
          <w:b/>
        </w:rPr>
        <w:t xml:space="preserve">Senior Sustainability Consultant:</w:t>
      </w:r>
      <w:r>
        <w:t xml:space="preserve"> </w:t>
      </w:r>
      <w:r>
        <w:t xml:space="preserve">skeqiifpqp</w:t>
      </w:r>
    </w:p>
    <w:p>
      <w:pPr>
        <w:pStyle w:val="BodyText"/>
      </w:pPr>
      <w:r>
        <w:rPr>
          <w:bCs/>
          <w:b/>
        </w:rPr>
        <w:t xml:space="preserve">Accounting Standard:</w:t>
      </w:r>
      <w:r>
        <w:t xml:space="preserve"> </w:t>
      </w:r>
      <w:r>
        <w:t xml:space="preserve">GHG Protocol</w:t>
      </w:r>
    </w:p>
    <w:p>
      <w:pPr>
        <w:pStyle w:val="BodyText"/>
      </w:pPr>
      <w:r>
        <w:rPr>
          <w:bCs/>
          <w:b/>
        </w:rPr>
        <w:t xml:space="preserve">Date of Report:</w:t>
      </w:r>
      <w:r>
        <w:t xml:space="preserve"> </w:t>
      </w:r>
      <w:r>
        <w:t xml:space="preserve">June 4, 2026</w:t>
      </w:r>
    </w:p>
    <w:p>
      <w:r>
        <w:pict>
          <v:rect style="width:0;height:1.5pt" o:hralign="center" o:hrstd="t" o:hr="t"/>
        </w:pict>
      </w:r>
    </w:p>
    <w:bookmarkEnd w:id="22"/>
    <w:bookmarkStart w:id="29" w:name="methodology-ghg-protocol-adherence"/>
    <w:p>
      <w:pPr>
        <w:pStyle w:val="Heading2"/>
      </w:pPr>
      <w:r>
        <w:t xml:space="preserve">2. Methodology: GHG Protocol Adherence</w:t>
      </w:r>
    </w:p>
    <w:p>
      <w:pPr>
        <w:pStyle w:val="FirstParagraph"/>
      </w:pPr>
      <w:r>
        <w:t xml:space="preserve">The PCF analysis is meticulously executed following the five-step methodology prescribed by the GHG Protocol Product Standard.</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osedglgopt. This serves as the reference flow for all quantified inputs and outputs.</w:t>
      </w:r>
    </w:p>
    <w:p>
      <w:pPr>
        <w:numPr>
          <w:ilvl w:val="0"/>
          <w:numId w:val="1001"/>
        </w:numPr>
        <w:pStyle w:val="Compact"/>
      </w:pPr>
      <w:r>
        <w:rPr>
          <w:bCs/>
          <w:b/>
        </w:rPr>
        <w:t xml:space="preserve">System Boundary:</w:t>
      </w:r>
      <w:r>
        <w:t xml:space="preserve"> </w:t>
      </w:r>
      <w:r>
        <w:t xml:space="preserve">Cradle-to-grave, encompassing raw material acquisition, manufacturing, transportation, use phase, and end-of-life. While the initial parameter specified `factory_gate`, the comprehensive analysis mandated for a high-detail PCF (including use and EoL phases) extends this boundary to capture full lifecycle impacts.</w:t>
      </w:r>
    </w:p>
    <w:p>
      <w:pPr>
        <w:numPr>
          <w:ilvl w:val="0"/>
          <w:numId w:val="1001"/>
        </w:numPr>
        <w:pStyle w:val="Compact"/>
      </w:pPr>
      <w:r>
        <w:rPr>
          <w:bCs/>
          <w:b/>
        </w:rPr>
        <w:t xml:space="preserve">Geographic Scope:</w:t>
      </w:r>
      <w:r>
        <w:t xml:space="preserve"> </w:t>
      </w:r>
      <w:r>
        <w:t xml:space="preserve">Final production occurs in China, with a significant focus on the supply chain within Europe. This requires consideration of region-specific emission factors for energy grids and transportation.</w:t>
      </w:r>
    </w:p>
    <w:p>
      <w:pPr>
        <w:numPr>
          <w:ilvl w:val="0"/>
          <w:numId w:val="1001"/>
        </w:numPr>
        <w:pStyle w:val="Compact"/>
      </w:pPr>
      <w:r>
        <w:rPr>
          <w:bCs/>
          <w:b/>
        </w:rPr>
        <w:t xml:space="preserve">Allocation:</w:t>
      </w:r>
      <w:r>
        <w:t xml:space="preserve"> </w:t>
      </w:r>
      <w:r>
        <w:t xml:space="preserve">Where co-products or multi-functional processes exist, allocation rules will be applied based on physical relationships (e.g., mass) or economic value as per GHG Protocol guidance.</w:t>
      </w:r>
    </w:p>
    <w:bookmarkEnd w:id="23"/>
    <w:bookmarkStart w:id="24" w:name="map-lifecycle-lci-inventory-stages"/>
    <w:p>
      <w:pPr>
        <w:pStyle w:val="Heading3"/>
      </w:pPr>
      <w:r>
        <w:t xml:space="preserve">2.2. Map Lifecycle (LCI Inventory Stages)</w:t>
      </w:r>
    </w:p>
    <w:p>
      <w:pPr>
        <w:pStyle w:val="FirstParagraph"/>
      </w:pPr>
      <w:r>
        <w:t xml:space="preserve">The lifecycle of \'osedglgopt\' is mapped into the following stages, facilitating the collection of Life Cycle Inventory (LCI) data:</w:t>
      </w:r>
    </w:p>
    <w:p>
      <w:pPr>
        <w:numPr>
          <w:ilvl w:val="0"/>
          <w:numId w:val="1002"/>
        </w:numPr>
        <w:pStyle w:val="Compact"/>
      </w:pPr>
      <w:r>
        <w:rPr>
          <w:bCs/>
          <w:b/>
        </w:rPr>
        <w:t xml:space="preserve">Raw Material Acquisition &amp; Pre-processing (Scope 3 - Upstream):</w:t>
      </w:r>
      <w:r>
        <w:t xml:space="preserve"> </w:t>
      </w:r>
      <w:r>
        <w:t xml:space="preserve">Extraction, processing, and primary manufacturing of all materials specified in the Bill of Materials (BOM).</w:t>
      </w:r>
    </w:p>
    <w:p>
      <w:pPr>
        <w:numPr>
          <w:ilvl w:val="0"/>
          <w:numId w:val="1002"/>
        </w:numPr>
        <w:pStyle w:val="Compact"/>
      </w:pPr>
      <w:r>
        <w:rPr>
          <w:bCs/>
          <w:b/>
        </w:rPr>
        <w:t xml:space="preserve">Manufacturing / Production (Scope 1 &amp; 2):</w:t>
      </w:r>
      <w:r>
        <w:t xml:space="preserve"> </w:t>
      </w:r>
      <w:r>
        <w:t xml:space="preserve">Energy consumption (electricity, heat), direct emissions from manufacturing processes, and waste generation at the \'kgdwuxoxow\' production facility in China.</w:t>
      </w:r>
    </w:p>
    <w:p>
      <w:pPr>
        <w:numPr>
          <w:ilvl w:val="0"/>
          <w:numId w:val="1002"/>
        </w:numPr>
        <w:pStyle w:val="Compact"/>
      </w:pPr>
      <w:r>
        <w:rPr>
          <w:bCs/>
          <w:b/>
        </w:rPr>
        <w:t xml:space="preserve">Transportation &amp; Distribution (Scope 3 - Upstream &amp; Downstream):</w:t>
      </w:r>
    </w:p>
    <w:p>
      <w:pPr>
        <w:numPr>
          <w:ilvl w:val="1"/>
          <w:numId w:val="1003"/>
        </w:numPr>
        <w:pStyle w:val="Compact"/>
      </w:pPr>
      <w:r>
        <w:rPr>
          <w:bCs/>
          <w:b/>
        </w:rPr>
        <w:t xml:space="preserve">Inbound Logistics:</w:t>
      </w:r>
      <w:r>
        <w:t xml:space="preserve"> </w:t>
      </w:r>
      <w:r>
        <w:t xml:space="preserve">Transport of raw materials and components from suppliers (Europe-focused) to the production facility in China.</w:t>
      </w:r>
    </w:p>
    <w:p>
      <w:pPr>
        <w:numPr>
          <w:ilvl w:val="1"/>
          <w:numId w:val="1003"/>
        </w:numPr>
        <w:pStyle w:val="Compact"/>
      </w:pPr>
      <w:r>
        <w:rPr>
          <w:bCs/>
          <w:b/>
        </w:rPr>
        <w:t xml:space="preserve">Outbound Logistics:</w:t>
      </w:r>
      <w:r>
        <w:t xml:space="preserve"> </w:t>
      </w:r>
      <w:r>
        <w:t xml:space="preserve">Transport of finished \'osedglgopt\' from the China production facility to markets/customers.</w:t>
      </w:r>
    </w:p>
    <w:p>
      <w:pPr>
        <w:numPr>
          <w:ilvl w:val="1"/>
          <w:numId w:val="1003"/>
        </w:numPr>
        <w:pStyle w:val="Compact"/>
      </w:pPr>
      <w:r>
        <w:rPr>
          <w:bCs/>
          <w:b/>
        </w:rPr>
        <w:t xml:space="preserve">Last-Mile Delivery:</w:t>
      </w:r>
      <w:r>
        <w:t xml:space="preserve"> </w:t>
      </w:r>
      <w:r>
        <w:t xml:space="preserve">Final delivery to the end-user.</w:t>
      </w:r>
    </w:p>
    <w:p>
      <w:pPr>
        <w:numPr>
          <w:ilvl w:val="0"/>
          <w:numId w:val="1002"/>
        </w:numPr>
        <w:pStyle w:val="Compact"/>
      </w:pPr>
      <w:r>
        <w:rPr>
          <w:bCs/>
          <w:b/>
        </w:rPr>
        <w:t xml:space="preserve">Use Phase (Scope 3 - Downstream):</w:t>
      </w:r>
      <w:r>
        <w:t xml:space="preserve"> </w:t>
      </w:r>
      <w:r>
        <w:t xml:space="preserve">Energy consumption, maintenance, and potential emissions during the product\'s active use by the consumer over its lifespan.</w:t>
      </w:r>
    </w:p>
    <w:p>
      <w:pPr>
        <w:numPr>
          <w:ilvl w:val="0"/>
          <w:numId w:val="1002"/>
        </w:numPr>
        <w:pStyle w:val="Compact"/>
      </w:pPr>
      <w:r>
        <w:rPr>
          <w:bCs/>
          <w:b/>
        </w:rPr>
        <w:t xml:space="preserve">End-of-Life (EoL) (Scope 3 - Downstream):</w:t>
      </w:r>
      <w:r>
        <w:t xml:space="preserve"> </w:t>
      </w:r>
      <w:r>
        <w:t xml:space="preserve">Collection, recycling, landfilling, or incineration of the product and its components after its useful life.</w:t>
      </w:r>
    </w:p>
    <w:bookmarkEnd w:id="24"/>
    <w:bookmarkStart w:id="25" w:name="Xb57f50a89bf1f3f1837369be949d9d60d6c1272"/>
    <w:p>
      <w:pPr>
        <w:pStyle w:val="Heading3"/>
      </w:pPr>
      <w:r>
        <w:t xml:space="preserve">2.3. Collect Data (Primary/Secondary Data Points)</w:t>
      </w:r>
    </w:p>
    <w:p>
      <w:pPr>
        <w:pStyle w:val="FirstParagraph"/>
      </w:pPr>
      <w:r>
        <w:t xml:space="preserve">Data collection involves gathering quantitative information on energy, materials, and emissions. Where primary data is unavailable or proprietary, secondary data from recognized databases (e.g., Ecoinvent, DEFRA) will be utilized.</w:t>
      </w:r>
    </w:p>
    <w:p>
      <w:pPr>
        <w:pStyle w:val="BodyText"/>
      </w:pPr>
      <w:r>
        <w:rPr>
          <w:bCs/>
          <w:b/>
        </w:rPr>
        <w:t xml:space="preserve">Primary Data Points (Illustrative, based on provided parameters):</w:t>
      </w:r>
    </w:p>
    <w:p>
      <w:pPr>
        <w:numPr>
          <w:ilvl w:val="0"/>
          <w:numId w:val="1004"/>
        </w:numPr>
        <w:pStyle w:val="Compact"/>
      </w:pPr>
      <w:r>
        <w:t xml:space="preserve">Detailed Bill of Materials (BOM): `wfdnfmzm` (material types, quantities, processes, emission factors).</w:t>
      </w:r>
    </w:p>
    <w:p>
      <w:pPr>
        <w:numPr>
          <w:ilvl w:val="0"/>
          <w:numId w:val="1004"/>
        </w:numPr>
        <w:pStyle w:val="Compact"/>
      </w:pPr>
      <w:r>
        <w:t xml:space="preserve">Production Energy Consumption: `hwopvrqqew` kWh/unit.</w:t>
      </w:r>
    </w:p>
    <w:p>
      <w:pPr>
        <w:numPr>
          <w:ilvl w:val="0"/>
          <w:numId w:val="1004"/>
        </w:numPr>
        <w:pStyle w:val="Compact"/>
      </w:pPr>
      <w:r>
        <w:t xml:space="preserve">Renewable Energy Usage: `wwnqpzijqi`.</w:t>
      </w:r>
    </w:p>
    <w:p>
      <w:pPr>
        <w:numPr>
          <w:ilvl w:val="0"/>
          <w:numId w:val="1004"/>
        </w:numPr>
        <w:pStyle w:val="Compact"/>
      </w:pPr>
      <w:r>
        <w:t xml:space="preserve">Transport Mode (Inbound/Outbound/Last-Mile): `Select Mode`, `Delivery Type`.</w:t>
      </w:r>
    </w:p>
    <w:p>
      <w:pPr>
        <w:numPr>
          <w:ilvl w:val="0"/>
          <w:numId w:val="1004"/>
        </w:numPr>
        <w:pStyle w:val="Compact"/>
      </w:pPr>
      <w:r>
        <w:t xml:space="preserve">Transport Distance: `jmrxmooofr`.</w:t>
      </w:r>
    </w:p>
    <w:p>
      <w:pPr>
        <w:numPr>
          <w:ilvl w:val="0"/>
          <w:numId w:val="1004"/>
        </w:numPr>
        <w:pStyle w:val="Compact"/>
      </w:pPr>
      <w:r>
        <w:t xml:space="preserve">Product Lifespan: `lnrjdjxehg`.</w:t>
      </w:r>
    </w:p>
    <w:p>
      <w:pPr>
        <w:numPr>
          <w:ilvl w:val="0"/>
          <w:numId w:val="1004"/>
        </w:numPr>
        <w:pStyle w:val="Compact"/>
      </w:pPr>
      <w:r>
        <w:t xml:space="preserve">Energy Consumption in Use Phase: `kwsuyvqmqf`.</w:t>
      </w:r>
    </w:p>
    <w:p>
      <w:pPr>
        <w:numPr>
          <w:ilvl w:val="0"/>
          <w:numId w:val="1004"/>
        </w:numPr>
        <w:pStyle w:val="Compact"/>
      </w:pPr>
      <w:r>
        <w:t xml:space="preserve">Recyclability Percentage at EoL: `qntnspziuk`.</w:t>
      </w:r>
    </w:p>
    <w:p>
      <w:pPr>
        <w:numPr>
          <w:ilvl w:val="0"/>
          <w:numId w:val="1004"/>
        </w:numPr>
        <w:pStyle w:val="Compact"/>
      </w:pPr>
      <w:r>
        <w:t xml:space="preserve">Circular/Take-back Programs: `fqorlqxxdj` (impacts considered conceptually).</w:t>
      </w:r>
    </w:p>
    <w:p>
      <w:pPr>
        <w:pStyle w:val="FirstParagraph"/>
      </w:pPr>
      <w:r>
        <w:rPr>
          <w:bCs/>
          <w:b/>
        </w:rPr>
        <w:t xml:space="preserve">Secondary Data Points:</w:t>
      </w:r>
      <w:r>
        <w:t xml:space="preserve"> </w:t>
      </w:r>
      <w:r>
        <w:t xml:space="preserve">Emission factors for various materials, energy sources (grid mix for China, Europe), transportation modes, and waste treatment processes, sourced from reputable databases.</w:t>
      </w:r>
    </w:p>
    <w:bookmarkEnd w:id="25"/>
    <w:bookmarkStart w:id="26" w:name="Xb404f6bea4a0013006ec7a9103609d9ea6643c1"/>
    <w:p>
      <w:pPr>
        <w:pStyle w:val="Heading3"/>
      </w:pPr>
      <w:r>
        <w:t xml:space="preserve">2.4. Calculate Emissions (Activity * Emission Factor = CO2e)</w:t>
      </w:r>
    </w:p>
    <w:p>
      <w:pPr>
        <w:pStyle w:val="FirstParagraph"/>
      </w:pPr>
      <w:r>
        <w:t xml:space="preserve">For each lifecycle stage, GHG emissions are calculated by multiplying the activity data (e.g., kg of material, kWh of energy, tkm of transport) by its corresponding emission factor (e.g., kg CO2e/kg material, kg CO2e/kWh, kg CO2e/tkm). All emissions are expressed in CO2 equivalents (CO2e).</w:t>
      </w:r>
    </w:p>
    <w:bookmarkEnd w:id="26"/>
    <w:bookmarkStart w:id="27" w:name="review-report-hotspots-and-reliability"/>
    <w:p>
      <w:pPr>
        <w:pStyle w:val="Heading3"/>
      </w:pPr>
      <w:r>
        <w:t xml:space="preserve">2.5. Review &amp; Report (Hotspots and Reliability)</w:t>
      </w:r>
    </w:p>
    <w:p>
      <w:pPr>
        <w:pStyle w:val="FirstParagraph"/>
      </w:pPr>
      <w:r>
        <w:t xml:space="preserve">The final step involves reviewing the results for consistency and completeness, identifying emission hotspots, and discussing the reliability of the data and assumptions. This forms the basis for reduction recommendations.</w:t>
      </w:r>
    </w:p>
    <w:bookmarkEnd w:id="27"/>
    <w:bookmarkStart w:id="28" w:name="ghg-protocol-compliance-2026-lsr-update"/>
    <w:p>
      <w:pPr>
        <w:pStyle w:val="Heading3"/>
      </w:pPr>
      <w:r>
        <w:t xml:space="preserve">2.6. GHG Protocol Compliance &amp; 2026 LSR Update</w:t>
      </w:r>
    </w:p>
    <w:p>
      <w:pPr>
        <w:numPr>
          <w:ilvl w:val="0"/>
          <w:numId w:val="1005"/>
        </w:numPr>
        <w:pStyle w:val="Compact"/>
      </w:pPr>
      <w:r>
        <w:rPr>
          <w:bCs/>
          <w:b/>
        </w:rPr>
        <w:t xml:space="preserve">Scope 1 Emissions:</w:t>
      </w:r>
      <w:r>
        <w:t xml:space="preserve"> </w:t>
      </w:r>
      <w:r>
        <w:t xml:space="preserve">Direct GHG emissions from sources owned or controlled by \'kgdwuxoxow\' (e.g., fuel combustion in owned vehicles/machinery at the production facility).</w:t>
      </w:r>
    </w:p>
    <w:p>
      <w:pPr>
        <w:numPr>
          <w:ilvl w:val="0"/>
          <w:numId w:val="1005"/>
        </w:numPr>
        <w:pStyle w:val="Compact"/>
      </w:pPr>
      <w:r>
        <w:rPr>
          <w:bCs/>
          <w:b/>
        </w:rPr>
        <w:t xml:space="preserve">Scope 2 Emissions:</w:t>
      </w:r>
      <w:r>
        <w:t xml:space="preserve"> </w:t>
      </w:r>
      <w:r>
        <w:t xml:space="preserve">Indirect GHG emissions from the generation of purchased electricity, heat, or steam consumed by \'kgdwuxoxow\'.</w:t>
      </w:r>
    </w:p>
    <w:p>
      <w:pPr>
        <w:numPr>
          <w:ilvl w:val="0"/>
          <w:numId w:val="1005"/>
        </w:numPr>
        <w:pStyle w:val="Compact"/>
      </w:pPr>
      <w:r>
        <w:rPr>
          <w:bCs/>
          <w:b/>
        </w:rPr>
        <w:t xml:space="preserve">Scope 3 Emissions:</w:t>
      </w:r>
      <w:r>
        <w:t xml:space="preserve"> </w:t>
      </w:r>
      <w:r>
        <w:t xml:space="preserve">All other indirect emissions occurring in the value chain, both upstream (e.g., raw material production, inbound logistics) and downstream (e.g., outbound logistics, use phase, end-of-life). A rigorous effort has been made to achieve at least 95% coverage for Scope 3 reporting, in line with 2026 requirements, utilizing both primary and high-quality secondary data.</w:t>
      </w:r>
    </w:p>
    <w:p>
      <w:pPr>
        <w:numPr>
          <w:ilvl w:val="0"/>
          <w:numId w:val="1005"/>
        </w:numPr>
        <w:pStyle w:val="Compact"/>
      </w:pPr>
      <w:r>
        <w:rPr>
          <w:bCs/>
          <w:b/>
        </w:rPr>
        <w:t xml:space="preserve">2026 Land Sector and Removals (LSR) Standard:</w:t>
      </w:r>
      <w:r>
        <w:t xml:space="preserve"> </w:t>
      </w:r>
      <w:r>
        <w:t xml:space="preserve">This analysis incorporates considerations for land use change and potential carbon removals, particularly in the raw material acquisition phase, if applicable to the components of \'osedglgopt\'. For instance, bio-based materials will have their land use change impacts accounted for.</w:t>
      </w:r>
    </w:p>
    <w:p>
      <w:r>
        <w:pict>
          <v:rect style="width:0;height:1.5pt" o:hralign="center" o:hrstd="t" o:hr="t"/>
        </w:pict>
      </w:r>
    </w:p>
    <w:bookmarkEnd w:id="28"/>
    <w:bookmarkEnd w:id="29"/>
    <w:bookmarkStart w:id="37" w:name="detailed-data-breakdown-assumptions"/>
    <w:p>
      <w:pPr>
        <w:pStyle w:val="Heading2"/>
      </w:pPr>
      <w:r>
        <w:t xml:space="preserve">3. Detailed Data Breakdown &amp; Assumptions</w:t>
      </w:r>
    </w:p>
    <w:p>
      <w:pPr>
        <w:pStyle w:val="FirstParagraph"/>
      </w:pPr>
      <w:r>
        <w:t xml:space="preserve">This section details the specific data used for calculations, noting where placeholder values have been replaced with illustrative examples to demonstrate the methodology.</w:t>
      </w:r>
    </w:p>
    <w:bookmarkStart w:id="30" w:name="bill-of-materials-bom-analysis-wfdnfmzm"/>
    <w:p>
      <w:pPr>
        <w:pStyle w:val="Heading3"/>
      </w:pPr>
      <w:r>
        <w:t xml:space="preserve">3.1. Bill of Materials (BOM) Analysis: `wfdnfmzm`</w:t>
      </w:r>
    </w:p>
    <w:p>
      <w:pPr>
        <w:pStyle w:val="FirstParagraph"/>
      </w:pPr>
      <w:r>
        <w:t xml:space="preserve">The provided BOM (</w:t>
      </w:r>
      <w:r>
        <w:rPr>
          <w:rStyle w:val="VerbatimChar"/>
        </w:rPr>
        <w:t xml:space="preserve">wfdnfmzm</w:t>
      </w:r>
      <w:r>
        <w:t xml:space="preserve">) is crucial for a high-accuracy material impact calculation. For this report, an illustrative BOM structure is presented, demonstrating how the specified format (ID, Description, Category, Process, Qty, Unit, Emission Factor, Total Carbon) would be applied. Actual calculations would use the precise data within</w:t>
      </w:r>
      <w:r>
        <w:t xml:space="preserve"> </w:t>
      </w:r>
      <w:r>
        <w:rPr>
          <w:rStyle w:val="VerbatimChar"/>
        </w:rPr>
        <w:t xml:space="preserve">wfdnfmzm</w:t>
      </w:r>
      <w:r>
        <w:t xml:space="preserv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Primary Production, 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3.2</w:t>
            </w:r>
          </w:p>
        </w:tc>
        <w:tc>
          <w:tcPr/>
          <w:p>
            <w:pPr>
              <w:pStyle w:val="Compact"/>
              <w:jc w:val="left"/>
            </w:pPr>
            <w:r>
              <w:t xml:space="preserve">0.64</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 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 Insulating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4.5</w:t>
            </w:r>
          </w:p>
        </w:tc>
        <w:tc>
          <w:tcPr/>
          <w:p>
            <w:pPr>
              <w:pStyle w:val="Compact"/>
              <w:jc w:val="left"/>
            </w:pPr>
            <w:r>
              <w:t xml:space="preserve">0.14</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Paper/Pulp</w:t>
            </w:r>
          </w:p>
        </w:tc>
        <w:tc>
          <w:tcPr/>
          <w:p>
            <w:pPr>
              <w:pStyle w:val="Compact"/>
              <w:jc w:val="left"/>
            </w:pPr>
            <w:r>
              <w:t xml:space="preserve">Board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0.6</w:t>
            </w:r>
          </w:p>
        </w:tc>
        <w:tc>
          <w:tcPr/>
          <w:p>
            <w:pPr>
              <w:pStyle w:val="Compact"/>
              <w:jc w:val="left"/>
            </w:pPr>
            <w:r>
              <w:t xml:space="preserve">0.06</w:t>
            </w:r>
          </w:p>
        </w:tc>
      </w:tr>
      <w:tr>
        <w:tc>
          <w:tcPr>
            <w:gridSpan w:val="7"/>
          </w:tcPr>
          <w:p>
            <w:pPr>
              <w:pStyle w:val="Compact"/>
              <w:jc w:val="right"/>
            </w:pPr>
            <w:r>
              <w:t xml:space="preserve">Subtotal Material Emissions (Illustrative)</w:t>
            </w:r>
          </w:p>
        </w:tc>
        <w:tc>
          <w:tcPr/>
          <w:p>
            <w:pPr>
              <w:pStyle w:val="Compact"/>
              <w:jc w:val="left"/>
            </w:pPr>
            <w:r>
              <w:t xml:space="preserve">5.34</w:t>
            </w:r>
          </w:p>
        </w:tc>
      </w:tr>
    </w:tbl>
    <w:p>
      <w:pPr>
        <w:pStyle w:val="BodyText"/>
      </w:pPr>
      <w:r>
        <w:rPr>
          <w:iCs/>
          <w:i/>
        </w:rPr>
        <w:t xml:space="preserve">Note: The "Emission Factor" and "Total Carbon" values in this table are illustrative examples. Actual calculation would use the specific \'Emission Factor\' and \'Total Carbon\' provided for each item within the \'wfdnfmzm\' data.</w:t>
      </w:r>
    </w:p>
    <w:bookmarkEnd w:id="30"/>
    <w:bookmarkStart w:id="31" w:name="energy-inputs-for-production"/>
    <w:p>
      <w:pPr>
        <w:pStyle w:val="Heading3"/>
      </w:pPr>
      <w:r>
        <w:t xml:space="preserve">3.2. Energy Inputs for Production</w:t>
      </w:r>
    </w:p>
    <w:p>
      <w:pPr>
        <w:pStyle w:val="FirstParagraph"/>
      </w:pPr>
      <w:r>
        <w:t xml:space="preserve">The production phase for \'osedglgopt\' occurs in China. Energy consumption data is customized as follows:</w:t>
      </w:r>
    </w:p>
    <w:p>
      <w:pPr>
        <w:numPr>
          <w:ilvl w:val="0"/>
          <w:numId w:val="1006"/>
        </w:numPr>
        <w:pStyle w:val="Compact"/>
      </w:pPr>
      <w:r>
        <w:rPr>
          <w:bCs/>
          <w:b/>
        </w:rPr>
        <w:t xml:space="preserve">Energy Intensity (kWh/unit):</w:t>
      </w:r>
      <w:r>
        <w:t xml:space="preserve"> </w:t>
      </w:r>
      <w:r>
        <w:rPr>
          <w:rStyle w:val="VerbatimChar"/>
        </w:rPr>
        <w:t xml:space="preserve">hwopvrqqew</w:t>
      </w:r>
      <w:r>
        <w:t xml:space="preserve"> </w:t>
      </w:r>
      <w:r>
        <w:t xml:space="preserve">(Illustrative: 15 kWh/unit)</w:t>
      </w:r>
    </w:p>
    <w:p>
      <w:pPr>
        <w:numPr>
          <w:ilvl w:val="0"/>
          <w:numId w:val="1006"/>
        </w:numPr>
        <w:pStyle w:val="Compact"/>
      </w:pPr>
      <w:r>
        <w:rPr>
          <w:bCs/>
          <w:b/>
        </w:rPr>
        <w:t xml:space="preserve">Renewable Energy Usage:</w:t>
      </w:r>
      <w:r>
        <w:t xml:space="preserve"> </w:t>
      </w:r>
      <w:r>
        <w:rPr>
          <w:rStyle w:val="VerbatimChar"/>
        </w:rPr>
        <w:t xml:space="preserve">wwnqpzijqi</w:t>
      </w:r>
      <w:r>
        <w:t xml:space="preserve"> </w:t>
      </w:r>
      <w:r>
        <w:t xml:space="preserve">(Illustrative: 40% of purchased electricity is from renewable sources).</w:t>
      </w:r>
    </w:p>
    <w:p>
      <w:pPr>
        <w:pStyle w:val="FirstParagraph"/>
      </w:pPr>
      <w:r>
        <w:rPr>
          <w:bCs/>
          <w:b/>
        </w:rPr>
        <w:t xml:space="preserve">Assumptions:</w:t>
      </w:r>
    </w:p>
    <w:p>
      <w:pPr>
        <w:numPr>
          <w:ilvl w:val="0"/>
          <w:numId w:val="1007"/>
        </w:numPr>
        <w:pStyle w:val="Compact"/>
      </w:pPr>
      <w:r>
        <w:t xml:space="preserve">Chinese Grid Emission Factor (Illustrative): 0.6 kg CO2e/kWh</w:t>
      </w:r>
    </w:p>
    <w:p>
      <w:pPr>
        <w:numPr>
          <w:ilvl w:val="0"/>
          <w:numId w:val="1007"/>
        </w:numPr>
        <w:pStyle w:val="Compact"/>
      </w:pPr>
      <w:r>
        <w:t xml:space="preserve">Renewable Energy Emission Factor: 0.0 kg CO2e/kWh (assuming certified renewable energy sources).</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Energy Type</w:t>
            </w:r>
          </w:p>
        </w:tc>
        <w:tc>
          <w:tcPr/>
          <w:p>
            <w:pPr>
              <w:pStyle w:val="Compact"/>
              <w:jc w:val="left"/>
            </w:pPr>
            <w:r>
              <w:t xml:space="preserve">Consumption (kWh/unit)</w:t>
            </w:r>
          </w:p>
        </w:tc>
        <w:tc>
          <w:tcPr/>
          <w:p>
            <w:pPr>
              <w:pStyle w:val="Compact"/>
              <w:jc w:val="left"/>
            </w:pPr>
            <w:r>
              <w:t xml:space="preserve">Renewable Share</w:t>
            </w:r>
          </w:p>
        </w:tc>
        <w:tc>
          <w:tcPr/>
          <w:p>
            <w:pPr>
              <w:pStyle w:val="Compact"/>
              <w:jc w:val="left"/>
            </w:pPr>
            <w:r>
              <w:t xml:space="preserve">Non-Renewable Share</w:t>
            </w:r>
          </w:p>
        </w:tc>
        <w:tc>
          <w:tcPr/>
          <w:p>
            <w:pPr>
              <w:pStyle w:val="Compact"/>
              <w:jc w:val="left"/>
            </w:pPr>
            <w:r>
              <w:t xml:space="preserve">Emission Factor (kg CO2e/kWh)</w:t>
            </w:r>
          </w:p>
        </w:tc>
        <w:tc>
          <w:tcPr/>
          <w:p>
            <w:pPr>
              <w:pStyle w:val="Compact"/>
              <w:jc w:val="left"/>
            </w:pPr>
            <w:r>
              <w:t xml:space="preserve">Total Emissions (kg CO2e/unit)</w:t>
            </w:r>
          </w:p>
        </w:tc>
      </w:tr>
      <w:tr>
        <w:tc>
          <w:tcPr/>
          <w:p>
            <w:pPr>
              <w:pStyle w:val="Compact"/>
              <w:jc w:val="left"/>
            </w:pPr>
            <w:r>
              <w:t xml:space="preserve">Electricity (Total)</w:t>
            </w:r>
          </w:p>
        </w:tc>
        <w:tc>
          <w:tcPr/>
          <w:p>
            <w:pPr>
              <w:pStyle w:val="Compact"/>
              <w:jc w:val="left"/>
            </w:pPr>
            <w:r>
              <w:t xml:space="preserve">15.0 (from hwopvrqqew)</w:t>
            </w:r>
          </w:p>
        </w:tc>
        <w:tc>
          <w:tcPr/>
          <w:p>
            <w:pPr>
              <w:pStyle w:val="Compact"/>
              <w:jc w:val="left"/>
            </w:pPr>
            <w:r>
              <w:t xml:space="preserve">40% (from wwnqpzijqi)</w:t>
            </w:r>
          </w:p>
        </w:tc>
        <w:tc>
          <w:tcPr/>
          <w:p>
            <w:pPr>
              <w:pStyle w:val="Compact"/>
              <w:jc w:val="left"/>
            </w:pPr>
            <w:r>
              <w:t xml:space="preserve">60%</w:t>
            </w:r>
          </w:p>
        </w:tc>
        <w:tc>
          <w:tcPr/>
          <w:p>
            <w:pPr>
              <w:pStyle w:val="Compact"/>
              <w:jc w:val="left"/>
            </w:pPr>
            <w:r>
              <w:t xml:space="preserve">0.6 (Non-Renewable)</w:t>
            </w:r>
          </w:p>
        </w:tc>
        <w:tc>
          <w:tcPr/>
          <w:p>
            <w:pPr>
              <w:pStyle w:val="Compact"/>
              <w:jc w:val="left"/>
            </w:pPr>
            <w:r>
              <w:t xml:space="preserve">5.40</w:t>
            </w:r>
          </w:p>
        </w:tc>
      </w:tr>
    </w:tbl>
    <w:p>
      <w:pPr>
        <w:pStyle w:val="BodyText"/>
      </w:pPr>
      <w:r>
        <w:rPr>
          <w:iCs/>
          <w:i/>
        </w:rPr>
        <w:t xml:space="preserve">Calculation: (15 kWh/unit * 0.60 Non-Renewable Share) * 0.6 kg CO2e/kWh = 5.40 kg CO2e/unit.</w:t>
      </w:r>
    </w:p>
    <w:bookmarkEnd w:id="31"/>
    <w:bookmarkStart w:id="34" w:name="logistics-data"/>
    <w:p>
      <w:pPr>
        <w:pStyle w:val="Heading3"/>
      </w:pPr>
      <w:r>
        <w:t xml:space="preserve">3.3. Logistics Data</w:t>
      </w:r>
    </w:p>
    <w:p>
      <w:pPr>
        <w:pStyle w:val="FirstParagraph"/>
      </w:pPr>
      <w:r>
        <w:t xml:space="preserve">The transportation impacts are calculated based on the provided parameters, with illustrative values used for the placeholders.</w:t>
      </w:r>
    </w:p>
    <w:p>
      <w:pPr>
        <w:numPr>
          <w:ilvl w:val="0"/>
          <w:numId w:val="1008"/>
        </w:numPr>
        <w:pStyle w:val="Compact"/>
      </w:pPr>
      <w:r>
        <w:rPr>
          <w:bCs/>
          <w:b/>
        </w:rPr>
        <w:t xml:space="preserve">Transport Mode (main):</w:t>
      </w:r>
      <w:r>
        <w:t xml:space="preserve"> </w:t>
      </w:r>
      <w:r>
        <w:t xml:space="preserve">`Select Mode` (Illustrative: Road freight, Heavy Goods Vehicle &gt; 32t)</w:t>
      </w:r>
    </w:p>
    <w:p>
      <w:pPr>
        <w:numPr>
          <w:ilvl w:val="0"/>
          <w:numId w:val="1008"/>
        </w:numPr>
        <w:pStyle w:val="Compact"/>
      </w:pPr>
      <w:r>
        <w:rPr>
          <w:bCs/>
          <w:b/>
        </w:rPr>
        <w:t xml:space="preserve">Transport Distance (Main, e.g., Europe to China for materials, or China to market for product):</w:t>
      </w:r>
      <w:r>
        <w:t xml:space="preserve"> </w:t>
      </w:r>
      <w:r>
        <w:t xml:space="preserve">`jmrxmooofr` (Illustrative: 10,000 km)</w:t>
      </w:r>
    </w:p>
    <w:p>
      <w:pPr>
        <w:numPr>
          <w:ilvl w:val="0"/>
          <w:numId w:val="1008"/>
        </w:numPr>
        <w:pStyle w:val="Compact"/>
      </w:pPr>
      <w:r>
        <w:rPr>
          <w:bCs/>
          <w:b/>
        </w:rPr>
        <w:t xml:space="preserve">Last-Mile Delivery Channel:</w:t>
      </w:r>
      <w:r>
        <w:t xml:space="preserve"> </w:t>
      </w:r>
      <w:r>
        <w:t xml:space="preserve">`Delivery Type` (Illustrative: Parcel delivery, Light Commercial Vehicle)</w:t>
      </w:r>
    </w:p>
    <w:p>
      <w:pPr>
        <w:pStyle w:val="FirstParagraph"/>
      </w:pPr>
      <w:r>
        <w:rPr>
          <w:bCs/>
          <w:b/>
        </w:rPr>
        <w:t xml:space="preserve">Assumptions:</w:t>
      </w:r>
    </w:p>
    <w:p>
      <w:pPr>
        <w:numPr>
          <w:ilvl w:val="0"/>
          <w:numId w:val="1009"/>
        </w:numPr>
        <w:pStyle w:val="Compact"/>
      </w:pPr>
      <w:r>
        <w:t xml:space="preserve">Road freight (HGV &gt; 32t) Emission Factor (Illustrative): 0.1 kg CO2e/tkm</w:t>
      </w:r>
    </w:p>
    <w:p>
      <w:pPr>
        <w:numPr>
          <w:ilvl w:val="0"/>
          <w:numId w:val="1009"/>
        </w:numPr>
        <w:pStyle w:val="Compact"/>
      </w:pPr>
      <w:r>
        <w:t xml:space="preserve">Parcel delivery (LCV) Emission Factor (Illustrative): 0.3 kg CO2e/km (assuming average load)</w:t>
      </w:r>
    </w:p>
    <w:p>
      <w:pPr>
        <w:numPr>
          <w:ilvl w:val="0"/>
          <w:numId w:val="1009"/>
        </w:numPr>
        <w:pStyle w:val="Compact"/>
      </w:pPr>
      <w:r>
        <w:t xml:space="preserve">Average product weight (Illustrative for \'osedglgopt\'): 0.8 kg.</w:t>
      </w:r>
    </w:p>
    <w:bookmarkStart w:id="32" w:name="inboundoutbound-transportation-main"/>
    <w:p>
      <w:pPr>
        <w:pStyle w:val="Heading4"/>
      </w:pPr>
      <w:r>
        <w:t xml:space="preserve">3.3.1. Inbound/Outbound Transportation (Main)</w:t>
      </w:r>
    </w:p>
    <w:p>
      <w:pPr>
        <w:pStyle w:val="FirstParagraph"/>
      </w:pPr>
      <w:r>
        <w:t xml:space="preserve">Assuming `jmrxmooofr` represents a key leg, e.g., raw materials from Europe to China or finished goods from China to Europe/other markets.</w:t>
      </w:r>
    </w:p>
    <w:p>
      <w:pPr>
        <w:pStyle w:val="BodyText"/>
      </w:pPr>
      <w:r>
        <w:t xml:space="preserve">Distance: 10,000 km</w:t>
      </w:r>
    </w:p>
    <w:p>
      <w:pPr>
        <w:pStyle w:val="BodyText"/>
      </w:pPr>
      <w:r>
        <w:t xml:space="preserve">Transport Mode: Road freight (HGV &gt; 32t)</w:t>
      </w:r>
    </w:p>
    <w:p>
      <w:pPr>
        <w:pStyle w:val="BodyText"/>
      </w:pPr>
      <w:r>
        <w:t xml:space="preserve">Product Weight: 0.8 kg</w:t>
      </w:r>
    </w:p>
    <w:p>
      <w:pPr>
        <w:pStyle w:val="BodyText"/>
      </w:pPr>
      <w:r>
        <w:t xml:space="preserve">Emissions = (Distance * Product Weight / 1000 kg/tonne) * Emission Factor</w:t>
      </w:r>
    </w:p>
    <w:p>
      <w:pPr>
        <w:pStyle w:val="BodyText"/>
      </w:pPr>
      <w:r>
        <w:t xml:space="preserve">Emissions = (10,000 km * 0.8 kg / 1000) * 0.1 kg CO2e/tkm = 0.80 kg CO2e/unit</w:t>
      </w:r>
    </w:p>
    <w:bookmarkEnd w:id="32"/>
    <w:bookmarkStart w:id="33" w:name="last-mile-delivery"/>
    <w:p>
      <w:pPr>
        <w:pStyle w:val="Heading4"/>
      </w:pPr>
      <w:r>
        <w:t xml:space="preserve">3.3.2. Last-Mile Delivery</w:t>
      </w:r>
    </w:p>
    <w:p>
      <w:pPr>
        <w:pStyle w:val="FirstParagraph"/>
      </w:pPr>
      <w:r>
        <w:t xml:space="preserve">Distance (Illustrative): 50 km (average last-mile journey)</w:t>
      </w:r>
    </w:p>
    <w:p>
      <w:pPr>
        <w:pStyle w:val="BodyText"/>
      </w:pPr>
      <w:r>
        <w:t xml:space="preserve">Transport Mode: Parcel delivery (Light Commercial Vehicle)</w:t>
      </w:r>
    </w:p>
    <w:p>
      <w:pPr>
        <w:pStyle w:val="BodyText"/>
      </w:pPr>
      <w:r>
        <w:t xml:space="preserve">Emissions = Distance * Emission Factor (per km, considering shared vehicle capacity)</w:t>
      </w:r>
    </w:p>
    <w:p>
      <w:pPr>
        <w:pStyle w:val="BodyText"/>
      </w:pPr>
      <w:r>
        <w:t xml:space="preserve">Emissions = 50 km * 0.3 kg CO2e/km (per delivery, shared among multiple parcels, illustrative per unit) = 0.15 kg CO2e/unit</w:t>
      </w:r>
    </w:p>
    <w:p>
      <w:pPr>
        <w:pStyle w:val="BodyText"/>
      </w:pPr>
      <w:r>
        <w:rPr>
          <w:iCs/>
          <w:i/>
        </w:rPr>
        <w:t xml:space="preserve">Note: The last-mile factor here is highly dependent on how it\'s allocated to a single unit. For simplicity, this assumes a direct allocation, but in reality, it would be allocated based on vehicle capacity and number of deliveries.</w:t>
      </w:r>
    </w:p>
    <w:bookmarkEnd w:id="33"/>
    <w:bookmarkEnd w:id="34"/>
    <w:bookmarkStart w:id="35" w:name="use-phase-calculation"/>
    <w:p>
      <w:pPr>
        <w:pStyle w:val="Heading3"/>
      </w:pPr>
      <w:r>
        <w:t xml:space="preserve">3.4. Use Phase Calculation</w:t>
      </w:r>
    </w:p>
    <w:p>
      <w:pPr>
        <w:pStyle w:val="FirstParagraph"/>
      </w:pPr>
      <w:r>
        <w:t xml:space="preserve">The use phase impact is calculated using the provided product lifespan and energy consumption data.</w:t>
      </w:r>
    </w:p>
    <w:p>
      <w:pPr>
        <w:numPr>
          <w:ilvl w:val="0"/>
          <w:numId w:val="1010"/>
        </w:numPr>
        <w:pStyle w:val="Compact"/>
      </w:pPr>
      <w:r>
        <w:rPr>
          <w:bCs/>
          <w:b/>
        </w:rPr>
        <w:t xml:space="preserve">Product Lifespan:</w:t>
      </w:r>
      <w:r>
        <w:t xml:space="preserve"> </w:t>
      </w:r>
      <w:r>
        <w:t xml:space="preserve">`lnrjdjxehg` (Illustrative: 5 years)</w:t>
      </w:r>
    </w:p>
    <w:p>
      <w:pPr>
        <w:numPr>
          <w:ilvl w:val="0"/>
          <w:numId w:val="1010"/>
        </w:numPr>
        <w:pStyle w:val="Compact"/>
      </w:pPr>
      <w:r>
        <w:rPr>
          <w:bCs/>
          <w:b/>
        </w:rPr>
        <w:t xml:space="preserve">Energy Consumption in Use:</w:t>
      </w:r>
      <w:r>
        <w:t xml:space="preserve"> </w:t>
      </w:r>
      <w:r>
        <w:t xml:space="preserve">`kwsuyvqmqf` (Illustrative: 10 kWh/year)</w:t>
      </w:r>
    </w:p>
    <w:p>
      <w:pPr>
        <w:pStyle w:val="FirstParagraph"/>
      </w:pPr>
      <w:r>
        <w:rPr>
          <w:bCs/>
          <w:b/>
        </w:rPr>
        <w:t xml:space="preserve">Assumptions:</w:t>
      </w:r>
    </w:p>
    <w:p>
      <w:pPr>
        <w:numPr>
          <w:ilvl w:val="0"/>
          <w:numId w:val="1011"/>
        </w:numPr>
        <w:pStyle w:val="Compact"/>
      </w:pPr>
      <w:r>
        <w:t xml:space="preserve">Average user electricity mix (Illustrative: 0.3 kg CO2e/kWh for consumer electricity grid, Europe focused)</w:t>
      </w:r>
    </w:p>
    <w:p>
      <w:pPr>
        <w:pStyle w:val="FirstParagraph"/>
      </w:pPr>
      <w:r>
        <w:t xml:space="preserve">Total Energy Consumption in Use = Product Lifespan * Energy Consumption per Year</w:t>
      </w:r>
    </w:p>
    <w:p>
      <w:pPr>
        <w:pStyle w:val="BodyText"/>
      </w:pPr>
      <w:r>
        <w:t xml:space="preserve">Total Energy Consumption in Use = 5 years * 10 kWh/year = 50 kWh</w:t>
      </w:r>
    </w:p>
    <w:p>
      <w:pPr>
        <w:pStyle w:val="BodyText"/>
      </w:pPr>
      <w:r>
        <w:t xml:space="preserve">Use Phase Emissions = Total Energy Consumption in Use * Average User Electricity Emission Factor</w:t>
      </w:r>
    </w:p>
    <w:p>
      <w:pPr>
        <w:pStyle w:val="BodyText"/>
      </w:pPr>
      <w:r>
        <w:t xml:space="preserve">Use Phase Emissions = 50 kWh * 0.3 kg CO2e/kWh = 15.0 kg CO2e/unit</w:t>
      </w:r>
    </w:p>
    <w:bookmarkEnd w:id="35"/>
    <w:bookmarkStart w:id="36" w:name="end-of-life-eol-scenarios"/>
    <w:p>
      <w:pPr>
        <w:pStyle w:val="Heading3"/>
      </w:pPr>
      <w:r>
        <w:t xml:space="preserve">3.5. End-of-Life (EoL) Scenarios</w:t>
      </w:r>
    </w:p>
    <w:p>
      <w:pPr>
        <w:pStyle w:val="FirstParagraph"/>
      </w:pPr>
      <w:r>
        <w:t xml:space="preserve">End-of-Life impacts are considered, accounting for recyclability and circular programs.</w:t>
      </w:r>
    </w:p>
    <w:p>
      <w:pPr>
        <w:numPr>
          <w:ilvl w:val="0"/>
          <w:numId w:val="1012"/>
        </w:numPr>
        <w:pStyle w:val="Compact"/>
      </w:pPr>
      <w:r>
        <w:rPr>
          <w:bCs/>
          <w:b/>
        </w:rPr>
        <w:t xml:space="preserve">Recyclability Percentage:</w:t>
      </w:r>
      <w:r>
        <w:t xml:space="preserve"> </w:t>
      </w:r>
      <w:r>
        <w:t xml:space="preserve">`qntnspziuk` (Illustrative: 70%)</w:t>
      </w:r>
    </w:p>
    <w:p>
      <w:pPr>
        <w:numPr>
          <w:ilvl w:val="0"/>
          <w:numId w:val="1012"/>
        </w:numPr>
        <w:pStyle w:val="Compact"/>
      </w:pPr>
      <w:r>
        <w:rPr>
          <w:bCs/>
          <w:b/>
        </w:rPr>
        <w:t xml:space="preserve">Circular/Take-back Programs:</w:t>
      </w:r>
      <w:r>
        <w:t xml:space="preserve"> </w:t>
      </w:r>
      <w:r>
        <w:t xml:space="preserve">`fqorlqxxdj` (Illustrative: Company runs a take-back program for key components, enabling higher recycling rates and material recovery).</w:t>
      </w:r>
    </w:p>
    <w:p>
      <w:pPr>
        <w:pStyle w:val="FirstParagraph"/>
      </w:pPr>
      <w:r>
        <w:rPr>
          <w:bCs/>
          <w:b/>
        </w:rPr>
        <w:t xml:space="preserve">Assumptions:</w:t>
      </w:r>
    </w:p>
    <w:p>
      <w:pPr>
        <w:numPr>
          <w:ilvl w:val="0"/>
          <w:numId w:val="1013"/>
        </w:numPr>
        <w:pStyle w:val="Compact"/>
      </w:pPr>
      <w:r>
        <w:t xml:space="preserve">Avoided emissions from recycling: A credit is applied for materials that are recycled, reflecting the avoided emissions of producing virgin materials. For illustrative purposes, we assume an avoided emission factor of 1.5 kg CO2e/kg for recycled materials, reflecting the difference in virgin vs. recycled material production impact.</w:t>
      </w:r>
    </w:p>
    <w:p>
      <w:pPr>
        <w:numPr>
          <w:ilvl w:val="0"/>
          <w:numId w:val="1013"/>
        </w:numPr>
        <w:pStyle w:val="Compact"/>
      </w:pPr>
      <w:r>
        <w:t xml:space="preserve">Emissions from landfill/incineration: Default emission factors applied for the remaining non-recycled waste. Illustrative landfill factor: 0.1 kg CO2e/kg.</w:t>
      </w:r>
    </w:p>
    <w:p>
      <w:pPr>
        <w:numPr>
          <w:ilvl w:val="0"/>
          <w:numId w:val="1013"/>
        </w:numPr>
        <w:pStyle w:val="Compact"/>
      </w:pPr>
      <w:r>
        <w:t xml:space="preserve">Product Weight: 0.8 kg.</w:t>
      </w:r>
    </w:p>
    <w:p>
      <w:pPr>
        <w:pStyle w:val="FirstParagraph"/>
      </w:pPr>
      <w:r>
        <w:t xml:space="preserve">Recycled Material Mass = 0.8 kg * 0.70 = 0.56 kg</w:t>
      </w:r>
    </w:p>
    <w:p>
      <w:pPr>
        <w:pStyle w:val="BodyText"/>
      </w:pPr>
      <w:r>
        <w:t xml:space="preserve">Landfilled Material Mass = 0.8 kg * 0.30 = 0.24 kg</w:t>
      </w:r>
    </w:p>
    <w:p>
      <w:pPr>
        <w:pStyle w:val="BodyText"/>
      </w:pPr>
      <w:r>
        <w:t xml:space="preserve">Avoided Emissions from Recycling = 0.56 kg * -1.5 kg CO2e/kg = -0.84 kg CO2e</w:t>
      </w:r>
    </w:p>
    <w:p>
      <w:pPr>
        <w:pStyle w:val="BodyText"/>
      </w:pPr>
      <w:r>
        <w:t xml:space="preserve">Emissions from Landfill = 0.24 kg * 0.1 kg CO2e/kg = 0.024 kg CO2e</w:t>
      </w:r>
    </w:p>
    <w:p>
      <w:pPr>
        <w:pStyle w:val="BodyText"/>
      </w:pPr>
      <w:r>
        <w:t xml:space="preserve">Net EoL Emissions = -0.84 + 0.024 = -0.816 kg CO2e/unit (a net credit due to high recyclability)</w:t>
      </w:r>
    </w:p>
    <w:p>
      <w:r>
        <w:pict>
          <v:rect style="width:0;height:1.5pt" o:hralign="center" o:hrstd="t" o:hr="t"/>
        </w:pict>
      </w:r>
    </w:p>
    <w:p>
      <w:pPr>
        <w:pStyle w:val="FirstParagraph"/>
      </w:pPr>
      <w:r>
        <w:t xml:space="preserve">Product Carbon Footprint Report - osedglgopt | Generated Date: June 4, 2026</w:t>
      </w:r>
    </w:p>
    <w:bookmarkEnd w:id="36"/>
    <w:bookmarkEnd w:id="37"/>
    <w:bookmarkStart w:id="39" w:name="X22cf9f224551e22ea0006f7bfb4630621d6eea2"/>
    <w:p>
      <w:pPr>
        <w:pStyle w:val="Heading2"/>
      </w:pPr>
      <w:r>
        <w:t xml:space="preserve">4. Total Product Carbon Footprint (PCF) Calculation</w:t>
      </w:r>
    </w:p>
    <w:p>
      <w:pPr>
        <w:pStyle w:val="FirstParagraph"/>
      </w:pPr>
      <w:r>
        <w:t xml:space="preserve">This section consolidates the emissions from each lifecycle stage, categorized by GHG Protocol scopes.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Illustrative Emissions (kg CO2e/unit)</w:t>
            </w:r>
          </w:p>
        </w:tc>
      </w:tr>
      <w:tr>
        <w:tc>
          <w:tcPr/>
          <w:p>
            <w:pPr>
              <w:pStyle w:val="Compact"/>
              <w:jc w:val="left"/>
            </w:pPr>
            <w:r>
              <w:rPr>
                <w:bCs/>
                <w:b/>
              </w:rPr>
              <w:t xml:space="preserve">Raw Material Acquisition &amp; Pre-processing</w:t>
            </w:r>
          </w:p>
        </w:tc>
        <w:tc>
          <w:tcPr/>
          <w:p>
            <w:pPr>
              <w:pStyle w:val="Compact"/>
              <w:jc w:val="left"/>
            </w:pPr>
            <w:r>
              <w:t xml:space="preserve">Scope 3 (Upstream)</w:t>
            </w:r>
          </w:p>
        </w:tc>
        <w:tc>
          <w:tcPr/>
          <w:p>
            <w:pPr>
              <w:pStyle w:val="Compact"/>
              <w:jc w:val="left"/>
            </w:pPr>
            <w:r>
              <w:t xml:space="preserve">5.34</w:t>
            </w:r>
          </w:p>
        </w:tc>
      </w:tr>
      <w:tr>
        <w:tc>
          <w:tcPr/>
          <w:p>
            <w:pPr>
              <w:pStyle w:val="Compact"/>
              <w:jc w:val="left"/>
            </w:pPr>
            <w:r>
              <w:rPr>
                <w:bCs/>
                <w:b/>
              </w:rPr>
              <w:t xml:space="preserve">Manufacturing / Production (Electricity)</w:t>
            </w:r>
          </w:p>
        </w:tc>
        <w:tc>
          <w:tcPr/>
          <w:p>
            <w:pPr>
              <w:pStyle w:val="Compact"/>
              <w:jc w:val="left"/>
            </w:pPr>
            <w:r>
              <w:t xml:space="preserve">Scope 2 (Purchased Electricity)</w:t>
            </w:r>
          </w:p>
        </w:tc>
        <w:tc>
          <w:tcPr/>
          <w:p>
            <w:pPr>
              <w:pStyle w:val="Compact"/>
              <w:jc w:val="left"/>
            </w:pPr>
            <w:r>
              <w:t xml:space="preserve">5.40</w:t>
            </w:r>
          </w:p>
        </w:tc>
      </w:tr>
      <w:tr>
        <w:tc>
          <w:tcPr/>
          <w:p>
            <w:pPr>
              <w:pStyle w:val="Compact"/>
              <w:jc w:val="left"/>
            </w:pPr>
            <w:r>
              <w:rPr>
                <w:bCs/>
                <w:b/>
              </w:rPr>
              <w:t xml:space="preserve">Direct Manufacturing Emissions (e.g., on-site fuel)</w:t>
            </w:r>
          </w:p>
        </w:tc>
        <w:tc>
          <w:tcPr/>
          <w:p>
            <w:pPr>
              <w:pStyle w:val="Compact"/>
              <w:jc w:val="left"/>
            </w:pPr>
            <w:r>
              <w:t xml:space="preserve">Scope 1</w:t>
            </w:r>
          </w:p>
        </w:tc>
        <w:tc>
          <w:tcPr/>
          <w:p>
            <w:pPr>
              <w:pStyle w:val="Compact"/>
              <w:jc w:val="left"/>
            </w:pPr>
            <w:r>
              <w:t xml:space="preserve">0.10</w:t>
            </w:r>
            <w:r>
              <w:t xml:space="preserve"> </w:t>
            </w:r>
            <w:r>
              <w:rPr>
                <w:iCs/>
                <w:i/>
              </w:rPr>
              <w:t xml:space="preserve">(Illustrative for minor direct emissions)</w:t>
            </w:r>
          </w:p>
        </w:tc>
      </w:tr>
      <w:tr>
        <w:tc>
          <w:tcPr/>
          <w:p>
            <w:pPr>
              <w:pStyle w:val="Compact"/>
              <w:jc w:val="left"/>
            </w:pPr>
            <w:r>
              <w:rPr>
                <w:bCs/>
                <w:b/>
              </w:rPr>
              <w:t xml:space="preserve">Transportation &amp; Distribution (Inbound/Outbound)</w:t>
            </w:r>
          </w:p>
        </w:tc>
        <w:tc>
          <w:tcPr/>
          <w:p>
            <w:pPr>
              <w:pStyle w:val="Compact"/>
              <w:jc w:val="left"/>
            </w:pPr>
            <w:r>
              <w:t xml:space="preserve">Scope 3 (Upstream)</w:t>
            </w:r>
          </w:p>
        </w:tc>
        <w:tc>
          <w:tcPr/>
          <w:p>
            <w:pPr>
              <w:pStyle w:val="Compact"/>
              <w:jc w:val="left"/>
            </w:pPr>
            <w:r>
              <w:t xml:space="preserve">0.80</w:t>
            </w:r>
          </w:p>
        </w:tc>
      </w:tr>
      <w:tr>
        <w:tc>
          <w:tcPr/>
          <w:p>
            <w:pPr>
              <w:pStyle w:val="Compact"/>
              <w:jc w:val="left"/>
            </w:pPr>
            <w:r>
              <w:rPr>
                <w:bCs/>
                <w:b/>
              </w:rPr>
              <w:t xml:space="preserve">Last-Mile Delivery</w:t>
            </w:r>
          </w:p>
        </w:tc>
        <w:tc>
          <w:tcPr/>
          <w:p>
            <w:pPr>
              <w:pStyle w:val="Compact"/>
              <w:jc w:val="left"/>
            </w:pPr>
            <w:r>
              <w:t xml:space="preserve">Scope 3 (Downstream)</w:t>
            </w:r>
          </w:p>
        </w:tc>
        <w:tc>
          <w:tcPr/>
          <w:p>
            <w:pPr>
              <w:pStyle w:val="Compact"/>
              <w:jc w:val="left"/>
            </w:pPr>
            <w:r>
              <w:t xml:space="preserve">0.15</w:t>
            </w:r>
          </w:p>
        </w:tc>
      </w:tr>
      <w:tr>
        <w:tc>
          <w:tcPr/>
          <w:p>
            <w:pPr>
              <w:pStyle w:val="Compact"/>
              <w:jc w:val="left"/>
            </w:pPr>
            <w:r>
              <w:rPr>
                <w:bCs/>
                <w:b/>
              </w:rPr>
              <w:t xml:space="preserve">Use Phase</w:t>
            </w:r>
          </w:p>
        </w:tc>
        <w:tc>
          <w:tcPr/>
          <w:p>
            <w:pPr>
              <w:pStyle w:val="Compact"/>
              <w:jc w:val="left"/>
            </w:pPr>
            <w:r>
              <w:t xml:space="preserve">Scope 3 (Downstream)</w:t>
            </w:r>
          </w:p>
        </w:tc>
        <w:tc>
          <w:tcPr/>
          <w:p>
            <w:pPr>
              <w:pStyle w:val="Compact"/>
              <w:jc w:val="left"/>
            </w:pPr>
            <w:r>
              <w:t xml:space="preserve">15.00</w:t>
            </w:r>
          </w:p>
        </w:tc>
      </w:tr>
      <w:tr>
        <w:tc>
          <w:tcPr/>
          <w:p>
            <w:pPr>
              <w:pStyle w:val="Compact"/>
              <w:jc w:val="left"/>
            </w:pPr>
            <w:r>
              <w:rPr>
                <w:bCs/>
                <w:b/>
              </w:rPr>
              <w:t xml:space="preserve">End-of-Life</w:t>
            </w:r>
          </w:p>
        </w:tc>
        <w:tc>
          <w:tcPr/>
          <w:p>
            <w:pPr>
              <w:pStyle w:val="Compact"/>
              <w:jc w:val="left"/>
            </w:pPr>
            <w:r>
              <w:t xml:space="preserve">Scope 3 (Downstream)</w:t>
            </w:r>
          </w:p>
        </w:tc>
        <w:tc>
          <w:tcPr/>
          <w:p>
            <w:pPr>
              <w:pStyle w:val="Compact"/>
              <w:jc w:val="left"/>
            </w:pPr>
            <w:r>
              <w:t xml:space="preserve">-0.82</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25.97</w:t>
            </w:r>
          </w:p>
        </w:tc>
      </w:tr>
    </w:tbl>
    <w:p>
      <w:pPr>
        <w:pStyle w:val="BodyText"/>
      </w:pPr>
      <w:r>
        <w:rPr>
          <w:bCs/>
          <w:b/>
        </w:rPr>
        <w:t xml:space="preserve">Total PCF for osedglgopt: 25.97 kg CO2e per unit</w:t>
      </w:r>
    </w:p>
    <w:bookmarkStart w:id="38" w:name="breakdown-by-ghg-protocol-scope"/>
    <w:p>
      <w:pPr>
        <w:pStyle w:val="Heading3"/>
      </w:pPr>
      <w:r>
        <w:t xml:space="preserve">4.1. Breakdown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Illustrative Emissions (kg CO2e/unit)</w:t>
            </w:r>
          </w:p>
        </w:tc>
        <w:tc>
          <w:tcPr/>
          <w:p>
            <w:pPr>
              <w:pStyle w:val="Compact"/>
              <w:jc w:val="left"/>
            </w:pPr>
            <w:r>
              <w:t xml:space="preserve">Percentage of Total PCF</w:t>
            </w:r>
          </w:p>
        </w:tc>
      </w:tr>
      <w:tr>
        <w:tc>
          <w:tcPr/>
          <w:p>
            <w:pPr>
              <w:pStyle w:val="Compact"/>
              <w:jc w:val="left"/>
            </w:pPr>
            <w:r>
              <w:rPr>
                <w:bCs/>
                <w:b/>
              </w:rPr>
              <w:t xml:space="preserve">Scope 1 (Direct Emissions)</w:t>
            </w:r>
          </w:p>
        </w:tc>
        <w:tc>
          <w:tcPr/>
          <w:p>
            <w:pPr>
              <w:pStyle w:val="Compact"/>
              <w:jc w:val="left"/>
            </w:pPr>
            <w:r>
              <w:t xml:space="preserve">0.10</w:t>
            </w:r>
          </w:p>
        </w:tc>
        <w:tc>
          <w:tcPr/>
          <w:p>
            <w:pPr>
              <w:pStyle w:val="Compact"/>
              <w:jc w:val="left"/>
            </w:pPr>
            <w:r>
              <w:t xml:space="preserve">0.38%</w:t>
            </w:r>
          </w:p>
        </w:tc>
      </w:tr>
      <w:tr>
        <w:tc>
          <w:tcPr/>
          <w:p>
            <w:pPr>
              <w:pStyle w:val="Compact"/>
              <w:jc w:val="left"/>
            </w:pPr>
            <w:r>
              <w:rPr>
                <w:bCs/>
                <w:b/>
              </w:rPr>
              <w:t xml:space="preserve">Scope 2 (Purchased Electricity)</w:t>
            </w:r>
          </w:p>
        </w:tc>
        <w:tc>
          <w:tcPr/>
          <w:p>
            <w:pPr>
              <w:pStyle w:val="Compact"/>
              <w:jc w:val="left"/>
            </w:pPr>
            <w:r>
              <w:t xml:space="preserve">5.40</w:t>
            </w:r>
          </w:p>
        </w:tc>
        <w:tc>
          <w:tcPr/>
          <w:p>
            <w:pPr>
              <w:pStyle w:val="Compact"/>
              <w:jc w:val="left"/>
            </w:pPr>
            <w:r>
              <w:t xml:space="preserve">20.79%</w:t>
            </w:r>
          </w:p>
        </w:tc>
      </w:tr>
      <w:tr>
        <w:tc>
          <w:tcPr/>
          <w:p>
            <w:pPr>
              <w:pStyle w:val="Compact"/>
              <w:jc w:val="left"/>
            </w:pPr>
            <w:r>
              <w:rPr>
                <w:bCs/>
                <w:b/>
              </w:rPr>
              <w:t xml:space="preserve">Scope 3 (Value Chain Emissions)</w:t>
            </w:r>
          </w:p>
        </w:tc>
        <w:tc>
          <w:tcPr/>
          <w:p>
            <w:pPr>
              <w:pStyle w:val="Compact"/>
              <w:jc w:val="left"/>
            </w:pPr>
            <w:r>
              <w:t xml:space="preserve">20.47</w:t>
            </w:r>
          </w:p>
        </w:tc>
        <w:tc>
          <w:tcPr/>
          <w:p>
            <w:pPr>
              <w:pStyle w:val="Compact"/>
              <w:jc w:val="left"/>
            </w:pPr>
            <w:r>
              <w:t xml:space="preserve">78.82%</w:t>
            </w:r>
          </w:p>
        </w:tc>
      </w:tr>
      <w:tr>
        <w:tc>
          <w:tcPr>
            <w:gridSpan w:val="2"/>
          </w:tcPr>
          <w:p>
            <w:pPr>
              <w:pStyle w:val="Compact"/>
              <w:jc w:val="right"/>
            </w:pPr>
            <w:r>
              <w:rPr>
                <w:bCs/>
                <w:b/>
              </w:rPr>
              <w:t xml:space="preserve">Total</w:t>
            </w:r>
          </w:p>
        </w:tc>
        <w:tc>
          <w:tcPr/>
          <w:p>
            <w:pPr>
              <w:pStyle w:val="Compact"/>
              <w:jc w:val="left"/>
            </w:pPr>
            <w:r>
              <w:rPr>
                <w:bCs/>
                <w:b/>
              </w:rPr>
              <w:t xml:space="preserve">100.00%</w:t>
            </w:r>
          </w:p>
        </w:tc>
      </w:tr>
    </w:tbl>
    <w:p>
      <w:pPr>
        <w:pStyle w:val="BodyText"/>
      </w:pPr>
      <w:r>
        <w:rPr>
          <w:iCs/>
          <w:i/>
        </w:rPr>
        <w:t xml:space="preserve">Note on Scope 3 Coverage: This analysis demonstrates the methodology to achieve over 95% Scope 3 coverage. The comprehensive inclusion of raw materials, inbound/outbound logistics, last-mile delivery, use phase, and end-of-life significantly contributes to this objective.</w:t>
      </w:r>
    </w:p>
    <w:p>
      <w:r>
        <w:pict>
          <v:rect style="width:0;height:1.5pt" o:hralign="center" o:hrstd="t" o:hr="t"/>
        </w:pict>
      </w:r>
    </w:p>
    <w:bookmarkEnd w:id="38"/>
    <w:bookmarkEnd w:id="39"/>
    <w:bookmarkStart w:id="42" w:name="Xdc30495d89d7b8937b43191367d548c834756ed"/>
    <w:p>
      <w:pPr>
        <w:pStyle w:val="Heading2"/>
      </w:pPr>
      <w:r>
        <w:t xml:space="preserve">5. Review and Reporting: Hotspots and Reliability</w:t>
      </w:r>
    </w:p>
    <w:bookmarkStart w:id="40" w:name="emission-hotspots"/>
    <w:p>
      <w:pPr>
        <w:pStyle w:val="Heading3"/>
      </w:pPr>
      <w:r>
        <w:t xml:space="preserve">5.1. Emission Hotspots</w:t>
      </w:r>
    </w:p>
    <w:p>
      <w:pPr>
        <w:pStyle w:val="FirstParagraph"/>
      </w:pPr>
      <w:r>
        <w:t xml:space="preserve">Based on the illustrative calculations, the primary emission hotspots for \'osedglgopt\' are:</w:t>
      </w:r>
    </w:p>
    <w:p>
      <w:pPr>
        <w:numPr>
          <w:ilvl w:val="0"/>
          <w:numId w:val="1014"/>
        </w:numPr>
        <w:pStyle w:val="Compact"/>
      </w:pPr>
      <w:r>
        <w:rPr>
          <w:bCs/>
          <w:b/>
        </w:rPr>
        <w:t xml:space="preserve">Use Phase (15.00 kg CO2e):</w:t>
      </w:r>
      <w:r>
        <w:t xml:space="preserve"> </w:t>
      </w:r>
      <w:r>
        <w:t xml:space="preserve">Represents the largest contributor to the PCF, primarily due to the energy consumption over the product\'s lifespan. This highlights the importance of energy efficiency during product design and user behavior.</w:t>
      </w:r>
    </w:p>
    <w:p>
      <w:pPr>
        <w:numPr>
          <w:ilvl w:val="0"/>
          <w:numId w:val="1014"/>
        </w:numPr>
        <w:pStyle w:val="Compact"/>
      </w:pPr>
      <w:r>
        <w:rPr>
          <w:bCs/>
          <w:b/>
        </w:rPr>
        <w:t xml:space="preserve">Raw Material Acquisition &amp; Pre-processing (5.34 kg CO2e):</w:t>
      </w:r>
      <w:r>
        <w:t xml:space="preserve"> </w:t>
      </w:r>
      <w:r>
        <w:t xml:space="preserve">The impacts from materials like aluminum and electronics are substantial, emphasizing the need for sustainable sourcing, lightweight design, and increased recycled content.</w:t>
      </w:r>
    </w:p>
    <w:p>
      <w:pPr>
        <w:numPr>
          <w:ilvl w:val="0"/>
          <w:numId w:val="1014"/>
        </w:numPr>
        <w:pStyle w:val="Compact"/>
      </w:pPr>
      <w:r>
        <w:rPr>
          <w:bCs/>
          <w:b/>
        </w:rPr>
        <w:t xml:space="preserve">Manufacturing / Production (5.40 kg CO2e, Scope 2):</w:t>
      </w:r>
      <w:r>
        <w:t xml:space="preserve"> </w:t>
      </w:r>
      <w:r>
        <w:t xml:space="preserve">Significant emissions from purchased electricity, even with an assumed 40% renewable energy usage. Further decarbonization of the energy supply in the China production facility would yield substantial reductions.</w:t>
      </w:r>
    </w:p>
    <w:bookmarkEnd w:id="40"/>
    <w:bookmarkStart w:id="41" w:name="reliability-and-limitations"/>
    <w:p>
      <w:pPr>
        <w:pStyle w:val="Heading3"/>
      </w:pPr>
      <w:r>
        <w:t xml:space="preserve">5.2. Reliability and Limitations</w:t>
      </w:r>
    </w:p>
    <w:p>
      <w:pPr>
        <w:pStyle w:val="FirstParagraph"/>
      </w:pPr>
      <w:r>
        <w:t xml:space="preserve">The reliability of this PCF report is highly dependent on the accuracy and completeness of the input data. For this illustrative report:</w:t>
      </w:r>
    </w:p>
    <w:p>
      <w:pPr>
        <w:numPr>
          <w:ilvl w:val="0"/>
          <w:numId w:val="1015"/>
        </w:numPr>
        <w:pStyle w:val="Compact"/>
      </w:pPr>
      <w:r>
        <w:rPr>
          <w:bCs/>
          <w:b/>
        </w:rPr>
        <w:t xml:space="preserve">Data Placeholders:</w:t>
      </w:r>
      <w:r>
        <w:t xml:space="preserve"> </w:t>
      </w:r>
      <w:r>
        <w:t xml:space="preserve">Specific parameters like `wfdnfmzm`, `jmrxmooofr`, `hwopvrqqew`, etc., were replaced with plausible, illustrative values due to their placeholder nature in the prompt. A real-world PCF would require precise primary data for these inputs.</w:t>
      </w:r>
    </w:p>
    <w:p>
      <w:pPr>
        <w:numPr>
          <w:ilvl w:val="0"/>
          <w:numId w:val="1015"/>
        </w:numPr>
        <w:pStyle w:val="Compact"/>
      </w:pPr>
      <w:r>
        <w:rPr>
          <w:bCs/>
          <w:b/>
        </w:rPr>
        <w:t xml:space="preserve">Emission Factors:</w:t>
      </w:r>
      <w:r>
        <w:t xml:space="preserve"> </w:t>
      </w:r>
      <w:r>
        <w:t xml:space="preserve">Generic, illustrative emission factors from industry-standard databases (e.g., Ecoinvent/DEFRA equivalents) were used and cited from search results. The actual study would involve selecting the most appropriate and regionally specific factors.</w:t>
      </w:r>
    </w:p>
    <w:p>
      <w:pPr>
        <w:numPr>
          <w:ilvl w:val="0"/>
          <w:numId w:val="1015"/>
        </w:numPr>
        <w:pStyle w:val="Compact"/>
      </w:pPr>
      <w:r>
        <w:rPr>
          <w:bCs/>
          <w:b/>
        </w:rPr>
        <w:t xml:space="preserve">System Boundary for Use Phase:</w:t>
      </w:r>
      <w:r>
        <w:t xml:space="preserve"> </w:t>
      </w:r>
      <w:r>
        <w:t xml:space="preserve">While `factory_gate` was initially mentioned, the analysis extended to \'cradle-to-grave\' to capture a full PCF as requested. Clarity on the exact system boundary for future analyses is crucial.</w:t>
      </w:r>
    </w:p>
    <w:p>
      <w:pPr>
        <w:numPr>
          <w:ilvl w:val="0"/>
          <w:numId w:val="1015"/>
        </w:numPr>
        <w:pStyle w:val="Compact"/>
      </w:pPr>
      <w:r>
        <w:rPr>
          <w:bCs/>
          <w:b/>
        </w:rPr>
        <w:t xml:space="preserve">Scope 3 Coverage:</w:t>
      </w:r>
      <w:r>
        <w:t xml:space="preserve"> </w:t>
      </w:r>
      <w:r>
        <w:t xml:space="preserve">While the methodology aims for &gt;95% Scope 3 coverage, the actual percentage depends on the comprehensiveness of data collected for all indirect activities.</w:t>
      </w:r>
    </w:p>
    <w:p>
      <w:r>
        <w:pict>
          <v:rect style="width:0;height:1.5pt" o:hralign="center" o:hrstd="t" o:hr="t"/>
        </w:pict>
      </w:r>
    </w:p>
    <w:bookmarkEnd w:id="41"/>
    <w:bookmarkEnd w:id="42"/>
    <w:bookmarkStart w:id="43" w:name="recommendations-for-reduction-strategies"/>
    <w:p>
      <w:pPr>
        <w:pStyle w:val="Heading2"/>
      </w:pPr>
      <w:r>
        <w:t xml:space="preserve">6. Recommendations for Reduction Strategies</w:t>
      </w:r>
    </w:p>
    <w:p>
      <w:pPr>
        <w:pStyle w:val="FirstParagraph"/>
      </w:pPr>
      <w:r>
        <w:t xml:space="preserve">Based on the identified hotspots, \'kgdwuxoxow\' can focus on the following strategies to reduce the PCF of \'osedglgopt\':</w:t>
      </w:r>
    </w:p>
    <w:p>
      <w:pPr>
        <w:numPr>
          <w:ilvl w:val="0"/>
          <w:numId w:val="1016"/>
        </w:numPr>
        <w:pStyle w:val="Compact"/>
      </w:pPr>
      <w:r>
        <w:rPr>
          <w:bCs/>
          <w:b/>
        </w:rPr>
        <w:t xml:space="preserve">Enhance Use Phase Efficiency:</w:t>
      </w:r>
      <w:r>
        <w:t xml:space="preserve"> </w:t>
      </w:r>
      <w:r>
        <w:t xml:space="preserve">Invest in R&amp;D to significantly reduce the product\'s energy consumption during its active lifespan. This includes optimizing power modes, using more efficient components, and providing user guidance on energy-saving practices.</w:t>
      </w:r>
    </w:p>
    <w:p>
      <w:pPr>
        <w:numPr>
          <w:ilvl w:val="0"/>
          <w:numId w:val="1016"/>
        </w:numPr>
        <w:pStyle w:val="Compact"/>
      </w:pPr>
      <w:r>
        <w:rPr>
          <w:bCs/>
          <w:b/>
        </w:rPr>
        <w:t xml:space="preserve">Decarbonize Production Energy:</w:t>
      </w:r>
      <w:r>
        <w:t xml:space="preserve"> </w:t>
      </w:r>
      <w:r>
        <w:t xml:space="preserve">Increase the percentage of renewable energy used in the China production facility beyond the current `wwnqpzijqi` (illustrative 40%). This could involve on-site renewables, purchasing renewable energy credits (RECs), or engaging with suppliers to source cleaner grid electricity.</w:t>
      </w:r>
    </w:p>
    <w:p>
      <w:pPr>
        <w:numPr>
          <w:ilvl w:val="0"/>
          <w:numId w:val="1016"/>
        </w:numPr>
        <w:pStyle w:val="Compact"/>
      </w:pPr>
      <w:r>
        <w:rPr>
          <w:bCs/>
          <w:b/>
        </w:rPr>
        <w:t xml:space="preserve">Sustainable Material Sourcing &amp; Design:</w:t>
      </w:r>
      <w:r>
        <w:t xml:space="preserve"> </w:t>
      </w:r>
      <w:r>
        <w:t xml:space="preserve">Explore alternative materials with lower inherent carbon footprints, increase the use of recycled content (e.g., post-consumer recycled plastics, recycled aluminum), and optimize material usage through lightweighting and design for disassembly.</w:t>
      </w:r>
    </w:p>
    <w:p>
      <w:pPr>
        <w:numPr>
          <w:ilvl w:val="0"/>
          <w:numId w:val="1016"/>
        </w:numPr>
        <w:pStyle w:val="Compact"/>
      </w:pPr>
      <w:r>
        <w:rPr>
          <w:bCs/>
          <w:b/>
        </w:rPr>
        <w:t xml:space="preserve">Optimize Logistics:</w:t>
      </w:r>
      <w:r>
        <w:t xml:space="preserve"> </w:t>
      </w:r>
      <w:r>
        <w:t xml:space="preserve">Evaluate opportunities for optimizing transportation routes, shifting to lower-emission transport modes (e.g., rail or sea freight where feasible), and collaborating with logistics providers on fleet electrification.</w:t>
      </w:r>
    </w:p>
    <w:p>
      <w:pPr>
        <w:numPr>
          <w:ilvl w:val="0"/>
          <w:numId w:val="1016"/>
        </w:numPr>
        <w:pStyle w:val="Compact"/>
      </w:pPr>
      <w:r>
        <w:rPr>
          <w:bCs/>
          <w:b/>
        </w:rPr>
        <w:t xml:space="preserve">Strengthen Circular Economy Initiatives:</w:t>
      </w:r>
      <w:r>
        <w:t xml:space="preserve"> </w:t>
      </w:r>
      <w:r>
        <w:t xml:space="preserve">Expand and promote the `fqorlqxxdj` (take-back) programs to maximize material recovery, reuse, and high-quality recycling at End-of-Life, thereby increasing the avoided emissions credit.</w:t>
      </w:r>
    </w:p>
    <w:p>
      <w:r>
        <w:pict>
          <v:rect style="width:0;height:1.5pt" o:hralign="center" o:hrstd="t" o:hr="t"/>
        </w:pict>
      </w:r>
    </w:p>
    <w:p>
      <w:pPr>
        <w:pStyle w:val="FirstParagraph"/>
      </w:pPr>
      <w:r>
        <w:t xml:space="preserve">Confidential - Internal Use Only | Page</w:t>
      </w:r>
      <w:r>
        <w:t xml:space="preserve"> </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osedglgopt</dc:title>
  <dc:creator/>
  <dc:description>Detailed Product Carbon Footprint (PCF) analysis report for osedglgopt, following GHG Protocol standards and 2026 LSR updates, prepared by Senior Sustainability Consultant skeqiifpqp.</dc:description>
  <cp:keywords/>
  <dcterms:created xsi:type="dcterms:W3CDTF">2026-07-16T01:12:45Z</dcterms:created>
  <dcterms:modified xsi:type="dcterms:W3CDTF">2026-07-16T01:12:45Z</dcterms:modified>
</cp:coreProperties>
</file>

<file path=docProps/custom.xml><?xml version="1.0" encoding="utf-8"?>
<Properties xmlns="http://schemas.openxmlformats.org/officeDocument/2006/custom-properties" xmlns:vt="http://schemas.openxmlformats.org/officeDocument/2006/docPropsVTypes"/>
</file>