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orwmfjpqef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orwmfjpqef</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fseqtgzikt</w:t>
      </w:r>
    </w:p>
    <w:p>
      <w:pPr>
        <w:pStyle w:val="BodyText"/>
      </w:pPr>
      <w:r>
        <w:rPr>
          <w:bCs/>
          <w:b/>
        </w:rPr>
        <w:t xml:space="preserve">Senior Sustainability Consultant:</w:t>
      </w:r>
      <w:r>
        <w:t xml:space="preserve"> </w:t>
      </w:r>
      <w:r>
        <w:t xml:space="preserve">gtxshdslkj</w:t>
      </w:r>
    </w:p>
    <w:p>
      <w:pPr>
        <w:pStyle w:val="BodyText"/>
      </w:pPr>
      <w:r>
        <w:t xml:space="preserve">Disclaimer: This report is generated based on available data and industry standards.</w:t>
      </w:r>
      <w:r>
        <w:t xml:space="preserve"> </w:t>
      </w:r>
      <w:r>
        <w:t xml:space="preserve">Actual numerical calculations require precise and validated input data, which for</w:t>
      </w:r>
      <w:r>
        <w:t xml:space="preserve"> </w:t>
      </w:r>
      <w:r>
        <w:t xml:space="preserve">some parameters in this report were provided as illustrative placeholders.</w:t>
      </w:r>
    </w:p>
    <w:bookmarkEnd w:id="20"/>
    <w:bookmarkStart w:id="39" w:name="X5b9ce076ed9c4daabb4b857eb926617359de93c"/>
    <w:p>
      <w:pPr>
        <w:pStyle w:val="Heading1"/>
      </w:pPr>
      <w:r>
        <w:t xml:space="preserve">Product Carbon Footprint Analysis: orwmfjpqef</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orwmfjpqef, manufactured by fseqtgzikt. Conducted by gtxshdslkj, a Senior Sustainability Consultant</w:t>
      </w:r>
      <w:r>
        <w:t xml:space="preserve"> </w:t>
      </w:r>
      <w:r>
        <w:t xml:space="preserve">specializing in GHG Protocol, this analysis adheres strictly to the GHG Protocol accounting standard,</w:t>
      </w:r>
      <w:r>
        <w:t xml:space="preserve"> </w:t>
      </w:r>
      <w:r>
        <w:t xml:space="preserve">including the 2026 Land Sector and Removals (LSR) update and ensuring at least 95% Scope 3 coverage.</w:t>
      </w:r>
      <w:r>
        <w:t xml:space="preserve"> </w:t>
      </w:r>
      <w:r>
        <w:t xml:space="preserve">The primary objective is to quantify the greenhouse gas emissions associated with the product\'s</w:t>
      </w:r>
      <w:r>
        <w:t xml:space="preserve"> </w:t>
      </w:r>
      <w:r>
        <w:t xml:space="preserve">lifecycle, from raw material extraction to end-of-life, identify emission hotspots, and provide insights</w:t>
      </w:r>
      <w:r>
        <w:t xml:space="preserve"> </w:t>
      </w:r>
      <w:r>
        <w:t xml:space="preserve">for sustainability improvements. Due to the placeholder nature of some input parameters (e.g., specific BOM data, transport modes, and numerical values for energy/lifespan),</w:t>
      </w:r>
      <w:r>
        <w:t xml:space="preserve"> </w:t>
      </w:r>
      <w:r>
        <w:t xml:space="preserve">the calculations presented serve as a demonstration of the methodology, with actual precise</w:t>
      </w:r>
      <w:r>
        <w:t xml:space="preserve"> </w:t>
      </w:r>
      <w:r>
        <w:t xml:space="preserve">figures requiring concrete numerical data.</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for orwmfjpqef follows a five-step methodology in accordance</w:t>
      </w:r>
      <w:r>
        <w:t xml:space="preserve"> </w:t>
      </w:r>
      <w:r>
        <w:t xml:space="preserve">with the GHG Protocol Product Standard.</w:t>
      </w:r>
    </w:p>
    <w:p>
      <w:pPr>
        <w:numPr>
          <w:ilvl w:val="0"/>
          <w:numId w:val="1001"/>
        </w:numPr>
        <w:pStyle w:val="Heading3"/>
      </w:pPr>
      <w:bookmarkStart w:id="22" w:name="define-scope"/>
      <w:r>
        <w:t xml:space="preserve">Define Scope</w:t>
      </w:r>
      <w:bookmarkEnd w:id="22"/>
    </w:p>
    <w:p>
      <w:pPr>
        <w:numPr>
          <w:ilvl w:val="0"/>
          <w:numId w:val="1000"/>
        </w:numPr>
      </w:pPr>
      <w:r>
        <w:t xml:space="preserve">This initial step establishes the boundaries and parameters for the PCF study.</w:t>
      </w:r>
      <w:r>
        <w:br/>
      </w:r>
      <w:r>
        <w:rPr>
          <w:bCs/>
          <w:b/>
        </w:rPr>
        <w:t xml:space="preserve">Functional Unit:</w:t>
      </w:r>
      <w:r>
        <w:t xml:space="preserve"> </w:t>
      </w:r>
      <w:r>
        <w:t xml:space="preserve">1.0 unit of orwmfjpqef.</w:t>
      </w:r>
      <w:r>
        <w:br/>
      </w:r>
      <w:r>
        <w:rPr>
          <w:bCs/>
          <w:b/>
        </w:rPr>
        <w:t xml:space="preserve">System Boundary:</w:t>
      </w:r>
      <w:r>
        <w:t xml:space="preserve"> </w:t>
      </w:r>
      <w:r>
        <w:t xml:space="preserve">factory_gate. This means the analysis covers emissions up to the point the product leaves the factory. However, to comply with 2026 GHG Protocol requirements for comprehensive Scope 3 reporting, downstream emissions (use phase and end-of-life) are also estimated and included.</w:t>
      </w:r>
      <w:r>
        <w:br/>
      </w:r>
      <w:r>
        <w:rPr>
          <w:bCs/>
          <w:b/>
        </w:rPr>
        <w:t xml:space="preserve">Geographic Scope:</w:t>
      </w:r>
      <w:r>
        <w:t xml:space="preserve"> </w:t>
      </w:r>
      <w:r>
        <w:t xml:space="preserve">Final Production Country: China, with a Supply Chain Focus: Europe Focused. This requires considering regional specificities for energy grids and transportation for both inbound and outbound logistics.</w:t>
      </w:r>
      <w:r>
        <w:br/>
      </w:r>
      <w:r>
        <w:rPr>
          <w:bCs/>
          <w:b/>
        </w:rPr>
        <w:t xml:space="preserve">Accounting Standard:</w:t>
      </w:r>
      <w:r>
        <w:t xml:space="preserve"> </w:t>
      </w:r>
      <w:r>
        <w:t xml:space="preserve">GHG Protocol.</w:t>
      </w:r>
      <w:r>
        <w:br/>
      </w:r>
      <w:r>
        <w:rPr>
          <w:bCs/>
          <w:b/>
        </w:rPr>
        <w:t xml:space="preserve">Allocation:</w:t>
      </w:r>
      <w:r>
        <w:t xml:space="preserve"> </w:t>
      </w:r>
      <w:r>
        <w:t xml:space="preserve">Environmental impacts are allocated to the functional unit based on mass, economic value, or other appropriate metrics, ensuring consistency across the lifecycle.</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orwmfjpqef is mapped into distinct stages, allowing for systematic data collection and emission quantification.</w:t>
      </w:r>
      <w:r>
        <w:t xml:space="preserve"> </w:t>
      </w:r>
      <w:r>
        <w:t xml:space="preserve">Each stage encompasses specific processes and material/energy flows, aligning with GHG Protocol Scope categorization.</w:t>
      </w:r>
    </w:p>
    <w:p>
      <w:pPr>
        <w:numPr>
          <w:ilvl w:val="1"/>
          <w:numId w:val="1002"/>
        </w:numPr>
        <w:pStyle w:val="Compact"/>
      </w:pPr>
      <w:r>
        <w:rPr>
          <w:bCs/>
          <w:b/>
        </w:rPr>
        <w:t xml:space="preserve">Raw Material Acquisition &amp; Pre-processing (Upstream - Scope 3, Category 1):</w:t>
      </w:r>
      <w:r>
        <w:t xml:space="preserve"> </w:t>
      </w:r>
      <w:r>
        <w:t xml:space="preserve">Extraction, processing, and manufacturing of all components and materials detailed in the Bill of Materials (BOM).</w:t>
      </w:r>
    </w:p>
    <w:p>
      <w:pPr>
        <w:numPr>
          <w:ilvl w:val="1"/>
          <w:numId w:val="1002"/>
        </w:numPr>
        <w:pStyle w:val="Compact"/>
      </w:pPr>
      <w:r>
        <w:rPr>
          <w:bCs/>
          <w:b/>
        </w:rPr>
        <w:t xml:space="preserve">Manufacturing/Production (Core - Scope 1 &amp; 2):</w:t>
      </w:r>
      <w:r>
        <w:t xml:space="preserve"> </w:t>
      </w:r>
      <w:r>
        <w:t xml:space="preserve">Direct emissions from industrial processes (Scope 1, if any), and indirect emissions from purchased electricity, heat, or steam (Scope 2) at the fseqtgzikt production facility in China.</w:t>
      </w:r>
    </w:p>
    <w:p>
      <w:pPr>
        <w:numPr>
          <w:ilvl w:val="1"/>
          <w:numId w:val="1002"/>
        </w:numPr>
        <w:pStyle w:val="Compact"/>
      </w:pPr>
      <w:r>
        <w:rPr>
          <w:bCs/>
          <w:b/>
        </w:rPr>
        <w:t xml:space="preserve">Transportation &amp; Distribution (Upstream/Downstream - Scope 3, Categories 4 &amp; 9):</w:t>
      </w:r>
      <w:r>
        <w:t xml:space="preserve"> </w:t>
      </w:r>
      <w:r>
        <w:t xml:space="preserve">Movement of raw materials to the factory (upstream) and finished products from the factory to the end-consumer (downstream).</w:t>
      </w:r>
    </w:p>
    <w:p>
      <w:pPr>
        <w:numPr>
          <w:ilvl w:val="1"/>
          <w:numId w:val="1002"/>
        </w:numPr>
        <w:pStyle w:val="Compact"/>
      </w:pPr>
      <w:r>
        <w:rPr>
          <w:bCs/>
          <w:b/>
        </w:rPr>
        <w:t xml:space="preserve">Use Phase (Downstream - Scope 3, Category 11):</w:t>
      </w:r>
      <w:r>
        <w:t xml:space="preserve"> </w:t>
      </w:r>
      <w:r>
        <w:t xml:space="preserve">Energy consumption and potential emissions during the product\'s operational lifespan by the end-user.</w:t>
      </w:r>
    </w:p>
    <w:p>
      <w:pPr>
        <w:numPr>
          <w:ilvl w:val="1"/>
          <w:numId w:val="1002"/>
        </w:numPr>
        <w:pStyle w:val="Compact"/>
      </w:pPr>
      <w:r>
        <w:rPr>
          <w:bCs/>
          <w:b/>
        </w:rPr>
        <w:t xml:space="preserve">End-of-Life (Downstream - Scope 3, Category 12):</w:t>
      </w:r>
      <w:r>
        <w:t xml:space="preserve"> </w:t>
      </w:r>
      <w:r>
        <w:t xml:space="preserve">Disposal, recycling, or recovery processes for the product and its components at the end of its functional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Both primary and secondary data are collected for each lifecycle stage to ensure accuracy and meet the 2026 GHG Protocol reporting requirements.</w:t>
      </w:r>
    </w:p>
    <w:p>
      <w:pPr>
        <w:numPr>
          <w:ilvl w:val="1"/>
          <w:numId w:val="1003"/>
        </w:numPr>
        <w:pStyle w:val="Compact"/>
      </w:pPr>
      <w:r>
        <w:rPr>
          <w:bCs/>
          <w:b/>
        </w:rPr>
        <w:t xml:space="preserve">Primary Data (Illustrative Placeholders):</w:t>
      </w:r>
    </w:p>
    <w:p>
      <w:pPr>
        <w:numPr>
          <w:ilvl w:val="2"/>
          <w:numId w:val="1004"/>
        </w:numPr>
        <w:pStyle w:val="Compact"/>
      </w:pPr>
      <w:r>
        <w:rPr>
          <w:bCs/>
          <w:b/>
        </w:rPr>
        <w:t xml:space="preserve">Detailed Bill of Materials (BOM):</w:t>
      </w:r>
      <w:r>
        <w:t xml:space="preserve"> </w:t>
      </w:r>
      <w:r>
        <w:t xml:space="preserve">The provided BOM (ntmospqo), structured as ID, Description, Category, Process, Qty, Unit, Emission Factor, Total Carbon, is intended for high-accuracy material impact calculations.</w:t>
      </w:r>
      <w:r>
        <w:t xml:space="preserve"> </w:t>
      </w:r>
      <w:r>
        <w:t xml:space="preserve">This data directly contributes to Scope 3, Category 1 (Purchased Goods and Services).</w:t>
      </w:r>
    </w:p>
    <w:p>
      <w:pPr>
        <w:numPr>
          <w:ilvl w:val="2"/>
          <w:numId w:val="1004"/>
        </w:numPr>
        <w:pStyle w:val="Compact"/>
      </w:pPr>
      <w:r>
        <w:rPr>
          <w:bCs/>
          <w:b/>
        </w:rPr>
        <w:t xml:space="preserve">Production Energy:</w:t>
      </w:r>
      <w:r>
        <w:t xml:space="preserve"> </w:t>
      </w:r>
      <w:r>
        <w:t xml:space="preserve">The energy intensity (xjlysmjffn kWh/unit) and renewable energy usage (jdwqfnjukl) for the manufacturing process at fseqtgzikt\'s facility. These inputs directly influence Scope 2 emissions.</w:t>
      </w:r>
    </w:p>
    <w:p>
      <w:pPr>
        <w:numPr>
          <w:ilvl w:val="2"/>
          <w:numId w:val="1004"/>
        </w:numPr>
        <w:pStyle w:val="Compact"/>
      </w:pPr>
      <w:r>
        <w:rPr>
          <w:bCs/>
          <w:b/>
        </w:rPr>
        <w:t xml:space="preserve">Transportation Logistics:</w:t>
      </w:r>
      <w:r>
        <w:t xml:space="preserve"> </w:t>
      </w:r>
      <w:r>
        <w:t xml:space="preserve">Transport mode (Select Mode), transport distance (ypnjqejymp), and last-mile delivery channel (Delivery Type) data for inbound and outbound logistics, impacting Scope 3, Categories 4 &amp; 9.</w:t>
      </w:r>
    </w:p>
    <w:p>
      <w:pPr>
        <w:numPr>
          <w:ilvl w:val="2"/>
          <w:numId w:val="1004"/>
        </w:numPr>
        <w:pStyle w:val="Compact"/>
      </w:pPr>
      <w:r>
        <w:rPr>
          <w:bCs/>
          <w:b/>
        </w:rPr>
        <w:t xml:space="preserve">Product Use Phase:</w:t>
      </w:r>
      <w:r>
        <w:t xml:space="preserve"> </w:t>
      </w:r>
      <w:r>
        <w:t xml:space="preserve">Product lifespan (tqeekkurxe) and estimated energy consumption in use (enqovhvmfn) for the functional unit, critical for Scope 3, Category 11.</w:t>
      </w:r>
    </w:p>
    <w:p>
      <w:pPr>
        <w:numPr>
          <w:ilvl w:val="2"/>
          <w:numId w:val="1004"/>
        </w:numPr>
        <w:pStyle w:val="Compact"/>
      </w:pPr>
      <w:r>
        <w:rPr>
          <w:bCs/>
          <w:b/>
        </w:rPr>
        <w:t xml:space="preserve">End-of-Life Scenarios:</w:t>
      </w:r>
      <w:r>
        <w:t xml:space="preserve"> </w:t>
      </w:r>
      <w:r>
        <w:t xml:space="preserve">Recyclability percentage (eqgpqrfhig) and information on circular/take-back programs (ltjoumyvpi), which inform Scope 3, Category 12.</w:t>
      </w:r>
    </w:p>
    <w:p>
      <w:pPr>
        <w:numPr>
          <w:ilvl w:val="1"/>
          <w:numId w:val="1003"/>
        </w:numPr>
        <w:pStyle w:val="Compact"/>
      </w:pPr>
      <w:r>
        <w:rPr>
          <w:bCs/>
          <w:b/>
        </w:rPr>
        <w:t xml:space="preserve">Secondary Data (Industry Standard):</w:t>
      </w:r>
    </w:p>
    <w:p>
      <w:pPr>
        <w:numPr>
          <w:ilvl w:val="2"/>
          <w:numId w:val="1005"/>
        </w:numPr>
        <w:pStyle w:val="Compact"/>
      </w:pPr>
      <w:r>
        <w:t xml:space="preserve">Industry-standard emission factors from reputable databases (e.g., Ecoinvent, DEFRA) are used for generic processes, energy mixes (where primary data is unavailable or for regional averages specific to China and Europe-focused supply chains), and various transportation modes.</w:t>
      </w:r>
      <w:r>
        <w:t xml:space="preserve"> </w:t>
      </w:r>
      <w:r>
        <w:t xml:space="preserve">These factors convert activity data (e.g., kWh of electricity, kg of material, tonne-km of transport) into CO2e emissions.</w:t>
      </w:r>
    </w:p>
    <w:p>
      <w:pPr>
        <w:numPr>
          <w:ilvl w:val="2"/>
          <w:numId w:val="1005"/>
        </w:numPr>
        <w:pStyle w:val="Compact"/>
      </w:pPr>
      <w:r>
        <w:t xml:space="preserve">Specific emission factors provided within the BOM (ntmospqo) are prioritized for material impact calculation when available.</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are calculated for each lifecycle stage by multiplying activity data by relevant emission factors.</w:t>
      </w:r>
      <w:r>
        <w:t xml:space="preserve"> </w:t>
      </w:r>
      <w:r>
        <w:t xml:space="preserve">All emissions are reported in kilograms of carbon dioxide equivalent (kg CO2e).</w:t>
      </w:r>
    </w:p>
    <w:p>
      <w:pPr>
        <w:numPr>
          <w:ilvl w:val="1"/>
          <w:numId w:val="1006"/>
        </w:numPr>
        <w:pStyle w:val="Compact"/>
      </w:pPr>
      <w:r>
        <w:rPr>
          <w:bCs/>
          <w:b/>
        </w:rPr>
        <w:t xml:space="preserve">Adherence to GHG Protocol:</w:t>
      </w:r>
      <w:r>
        <w:t xml:space="preserve"> </w:t>
      </w:r>
      <w:r>
        <w:t xml:space="preserve">Emissions are meticulously categorized into Scope 1 (direct emissions from owned or controlled sources), Scope 2 (indirect emissions from the generation of purchased energy), and Scope 3 (all other indirect emissions that occur in a company\'s value chain).</w:t>
      </w:r>
    </w:p>
    <w:p>
      <w:pPr>
        <w:numPr>
          <w:ilvl w:val="1"/>
          <w:numId w:val="1006"/>
        </w:numPr>
        <w:pStyle w:val="Compact"/>
      </w:pPr>
      <w:r>
        <w:rPr>
          <w:bCs/>
          <w:b/>
        </w:rPr>
        <w:t xml:space="preserve">2026 LSR Update:</w:t>
      </w:r>
      <w:r>
        <w:t xml:space="preserve"> </w:t>
      </w:r>
      <w:r>
        <w:t xml:space="preserve">The Land Sector and Removals (LSR) Standard is applied to explicitly account for land use change emissions and carbon removals, integrating biogenic carbon flows where relevant to provide a more holistic environmental picture.</w:t>
      </w:r>
    </w:p>
    <w:p>
      <w:pPr>
        <w:numPr>
          <w:ilvl w:val="1"/>
          <w:numId w:val="1006"/>
        </w:numPr>
        <w:pStyle w:val="Compact"/>
      </w:pPr>
      <w:r>
        <w:rPr>
          <w:bCs/>
          <w:b/>
        </w:rPr>
        <w:t xml:space="preserve">Scope 3 Compliance:</w:t>
      </w:r>
      <w:r>
        <w:t xml:space="preserve"> </w:t>
      </w:r>
      <w:r>
        <w:t xml:space="preserve">Rigorous efforts are made to ensure at least 95% coverage for Scope 3 reporting, as mandated by 2026 requirements, by comprehensively assessing upstream and downstream value chain activities using the provided parameters.</w:t>
      </w:r>
    </w:p>
    <w:p>
      <w:pPr>
        <w:numPr>
          <w:ilvl w:val="0"/>
          <w:numId w:val="1001"/>
        </w:numPr>
        <w:pStyle w:val="Heading3"/>
      </w:pPr>
      <w:bookmarkStart w:id="26" w:name="review-report"/>
      <w:r>
        <w:t xml:space="preserve">Review &amp; Report</w:t>
      </w:r>
      <w:bookmarkEnd w:id="26"/>
    </w:p>
    <w:p>
      <w:pPr>
        <w:numPr>
          <w:ilvl w:val="0"/>
          <w:numId w:val="1000"/>
        </w:numPr>
      </w:pPr>
      <w:r>
        <w:t xml:space="preserve">The calculated PCF is thoroughly reviewed for accuracy, completeness, and consistency. Emission hotspots are identified, and the reliability of the data sources and calculations is assessed.</w:t>
      </w:r>
      <w:r>
        <w:t xml:space="preserve"> </w:t>
      </w:r>
      <w:r>
        <w:t xml:space="preserve">The final report provides transparency on assumptions, methodologies, and key findings, highlighting areas for improvement.</w:t>
      </w:r>
    </w:p>
    <w:p>
      <w:r>
        <w:pict>
          <v:rect style="width:0;height:1.5pt" o:hralign="center" o:hrstd="t" o:hr="t"/>
        </w:pict>
      </w:r>
    </w:p>
    <w:bookmarkEnd w:id="27"/>
    <w:bookmarkStart w:id="38" w:name="X653b2b5ee2edae6ba3df1ede010cc1939eb9e24"/>
    <w:p>
      <w:pPr>
        <w:pStyle w:val="Heading2"/>
      </w:pPr>
      <w:r>
        <w:t xml:space="preserve">Detailed Product Carbon Footprint Analysis</w:t>
      </w:r>
    </w:p>
    <w:bookmarkStart w:id="28" w:name="scope-definition-summary"/>
    <w:p>
      <w:pPr>
        <w:pStyle w:val="Heading3"/>
      </w:pPr>
      <w:r>
        <w:t xml:space="preserve">1. Scope Definition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Detail</w:t>
            </w:r>
          </w:p>
        </w:tc>
      </w:tr>
      <w:tr>
        <w:tc>
          <w:tcPr/>
          <w:p>
            <w:pPr>
              <w:pStyle w:val="Compact"/>
              <w:jc w:val="left"/>
            </w:pPr>
            <w:r>
              <w:t xml:space="preserve">Functional Unit</w:t>
            </w:r>
          </w:p>
        </w:tc>
        <w:tc>
          <w:tcPr/>
          <w:p>
            <w:pPr>
              <w:pStyle w:val="Compact"/>
              <w:jc w:val="left"/>
            </w:pPr>
            <w:r>
              <w:t xml:space="preserve">1.0 unit of orwmfjpqef</w:t>
            </w:r>
          </w:p>
        </w:tc>
      </w:tr>
      <w:tr>
        <w:tc>
          <w:tcPr/>
          <w:p>
            <w:pPr>
              <w:pStyle w:val="Compact"/>
              <w:jc w:val="left"/>
            </w:pPr>
            <w:r>
              <w:t xml:space="preserve">System Boundary</w:t>
            </w:r>
          </w:p>
        </w:tc>
        <w:tc>
          <w:tcPr/>
          <w:p>
            <w:pPr>
              <w:pStyle w:val="Compact"/>
              <w:jc w:val="left"/>
            </w:pPr>
            <w:r>
              <w:t xml:space="preserve">factory_gate (with comprehensive Scope 3 coverage extending to use-phase and end-of-life)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r>
      <w:tr>
        <w:tc>
          <w:tcPr/>
          <w:p>
            <w:pPr>
              <w:pStyle w:val="Compact"/>
              <w:jc w:val="left"/>
            </w:pPr>
            <w:r>
              <w:t xml:space="preserve">Accounting Standard</w:t>
            </w:r>
          </w:p>
        </w:tc>
        <w:tc>
          <w:tcPr/>
          <w:p>
            <w:pPr>
              <w:pStyle w:val="Compact"/>
              <w:jc w:val="left"/>
            </w:pPr>
            <w:r>
              <w:t xml:space="preserve">GHG Protocol (including 2026 LSR update)</w:t>
            </w:r>
          </w:p>
        </w:tc>
      </w:tr>
      <w:tr>
        <w:tc>
          <w:tcPr/>
          <w:p>
            <w:pPr>
              <w:pStyle w:val="Compact"/>
              <w:jc w:val="left"/>
            </w:pPr>
            <w:r>
              <w:t xml:space="preserve">Senior Sustainability Consultant</w:t>
            </w:r>
          </w:p>
        </w:tc>
        <w:tc>
          <w:tcPr/>
          <w:p>
            <w:pPr>
              <w:pStyle w:val="Compact"/>
              <w:jc w:val="left"/>
            </w:pPr>
            <w:r>
              <w:t xml:space="preserve">gtxshdslkj</w:t>
            </w:r>
          </w:p>
        </w:tc>
      </w:tr>
      <w:tr>
        <w:tc>
          <w:tcPr/>
          <w:p>
            <w:pPr>
              <w:pStyle w:val="Compact"/>
              <w:jc w:val="left"/>
            </w:pPr>
            <w:r>
              <w:t xml:space="preserve">Company Name</w:t>
            </w:r>
          </w:p>
        </w:tc>
        <w:tc>
          <w:tcPr/>
          <w:p>
            <w:pPr>
              <w:pStyle w:val="Compact"/>
              <w:jc w:val="left"/>
            </w:pPr>
            <w:r>
              <w:t xml:space="preserve">fseqtgzikt</w:t>
            </w:r>
          </w:p>
        </w:tc>
      </w:tr>
    </w:tbl>
    <w:bookmarkEnd w:id="28"/>
    <w:bookmarkStart w:id="34" w:name="Xaf3aa02aaccd3514b142c16c4a797071896550f"/>
    <w:p>
      <w:pPr>
        <w:pStyle w:val="Heading3"/>
      </w:pPr>
      <w:r>
        <w:t xml:space="preserve">2. &amp; 3. Lifecycle Inventory (LCI) and Data Collection Details</w:t>
      </w:r>
    </w:p>
    <w:bookmarkStart w:id="29" w:name="X885fd8fb64c7f89219635321b6356694da3abb3"/>
    <w:p>
      <w:pPr>
        <w:pStyle w:val="Heading4"/>
      </w:pPr>
      <w:r>
        <w:t xml:space="preserve">Material Inputs (Bill of Materials - BOM) - Scope 3, Category 1</w:t>
      </w:r>
    </w:p>
    <w:p>
      <w:pPr>
        <w:pStyle w:val="FirstParagraph"/>
      </w:pPr>
      <w:r>
        <w:t xml:space="preserve">The following table illustrates the structure and expected data for the Detailed Bill of Materials (BOM),</w:t>
      </w:r>
      <w:r>
        <w:t xml:space="preserve"> </w:t>
      </w:r>
      <w:r>
        <w:t xml:space="preserve">which was provided as the placeholder `ntmospqo`. For an accurate PCF, precise numerical values</w:t>
      </w:r>
      <w:r>
        <w:t xml:space="preserve"> </w:t>
      </w:r>
      <w:r>
        <w:t xml:space="preserve">for Quantity and Emission Factor are essential. The "Total Carbon" for each item is calculated from</w:t>
      </w:r>
      <w:r>
        <w:t xml:space="preserve"> </w:t>
      </w:r>
      <w:r>
        <w:rPr>
          <w:rStyle w:val="VerbatimChar"/>
        </w:rPr>
        <w:t xml:space="preserve">Qty * Emission Factor</w:t>
      </w:r>
      <w: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(Example)</w:t>
            </w:r>
          </w:p>
        </w:tc>
        <w:tc>
          <w:tcPr/>
          <w:p>
            <w:pPr>
              <w:pStyle w:val="Compact"/>
              <w:jc w:val="left"/>
            </w:pPr>
            <w:r>
              <w:t xml:space="preserve">Unit (Example)</w:t>
            </w:r>
          </w:p>
        </w:tc>
        <w:tc>
          <w:tcPr/>
          <w:p>
            <w:pPr>
              <w:pStyle w:val="Compact"/>
              <w:jc w:val="left"/>
            </w:pPr>
            <w:r>
              <w:t xml:space="preserve">Emission Factor (Example kgCO2e/unit)</w:t>
            </w:r>
          </w:p>
        </w:tc>
        <w:tc>
          <w:tcPr/>
          <w:p>
            <w:pPr>
              <w:pStyle w:val="Compact"/>
              <w:jc w:val="left"/>
            </w:pPr>
            <w:r>
              <w:t xml:space="preserve">Total Carbon (Example kgCO2e)</w:t>
            </w:r>
          </w:p>
        </w:tc>
      </w:tr>
      <w:tr>
        <w:tc>
          <w:tcPr/>
          <w:p>
            <w:pPr>
              <w:pStyle w:val="Compact"/>
              <w:jc w:val="left"/>
            </w:pPr>
            <w:r>
              <w:t xml:space="preserve">M-001</w:t>
            </w:r>
          </w:p>
        </w:tc>
        <w:tc>
          <w:tcPr/>
          <w:p>
            <w:pPr>
              <w:pStyle w:val="Compact"/>
              <w:jc w:val="left"/>
            </w:pPr>
            <w:r>
              <w:t xml:space="preserve">Raw Material A (Aluminum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Enclosure Component B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unit</w:t>
            </w:r>
          </w:p>
        </w:tc>
        <w:tc>
          <w:tcPr/>
          <w:p>
            <w:pPr>
              <w:pStyle w:val="Compact"/>
              <w:jc w:val="left"/>
            </w:pPr>
            <w:r>
              <w:t xml:space="preserve">3.0</w:t>
            </w:r>
          </w:p>
        </w:tc>
        <w:tc>
          <w:tcPr/>
          <w:p>
            <w:pPr>
              <w:pStyle w:val="Compact"/>
              <w:jc w:val="left"/>
            </w:pPr>
            <w:r>
              <w:t xml:space="preserve">2.4</w:t>
            </w:r>
          </w:p>
        </w:tc>
      </w:tr>
      <w:tr>
        <w:tc>
          <w:tcPr/>
          <w:p>
            <w:pPr>
              <w:pStyle w:val="Compact"/>
              <w:jc w:val="left"/>
            </w:pPr>
            <w:r>
              <w:t xml:space="preserve">M-003</w:t>
            </w:r>
          </w:p>
        </w:tc>
        <w:tc>
          <w:tcPr/>
          <w:p>
            <w:pPr>
              <w:pStyle w:val="Compact"/>
              <w:jc w:val="left"/>
            </w:pPr>
            <w:r>
              <w:t xml:space="preserve">Semiconductor Chip C</w:t>
            </w:r>
          </w:p>
        </w:tc>
        <w:tc>
          <w:tcPr/>
          <w:p>
            <w:pPr>
              <w:pStyle w:val="Compact"/>
              <w:jc w:val="left"/>
            </w:pPr>
            <w:r>
              <w:t xml:space="preserve">Silicon</w:t>
            </w:r>
          </w:p>
        </w:tc>
        <w:tc>
          <w:tcPr/>
          <w:p>
            <w:pPr>
              <w:pStyle w:val="Compact"/>
              <w:jc w:val="left"/>
            </w:pPr>
            <w:r>
              <w:t xml:space="preserve">Wafer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Product Packaging (Recycled Cardboard)</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gridSpan w:val="7"/>
          </w:tcPr>
          <w:p>
            <w:pPr>
              <w:pStyle w:val="Compact"/>
              <w:jc w:val="right"/>
            </w:pPr>
            <w:r>
              <w:t xml:space="preserve">Sub-Total Illustrative Material Impacts</w:t>
            </w:r>
          </w:p>
        </w:tc>
        <w:tc>
          <w:tcPr/>
          <w:p>
            <w:pPr>
              <w:pStyle w:val="Compact"/>
              <w:jc w:val="left"/>
            </w:pPr>
            <w:r>
              <w:t xml:space="preserve">~30.14</w:t>
            </w:r>
          </w:p>
        </w:tc>
      </w:tr>
    </w:tbl>
    <w:p>
      <w:pPr>
        <w:pStyle w:val="BodyText"/>
      </w:pPr>
      <w:r>
        <w:rPr>
          <w:iCs/>
          <w:i/>
        </w:rPr>
        <w:t xml:space="preserve">(Note: The values in the table above are illustrative examples. Actual calculations would utilize the specific data structure and values from the parameter `ntmospqo` if it contained a parsable BOM.)</w:t>
      </w:r>
    </w:p>
    <w:bookmarkEnd w:id="29"/>
    <w:bookmarkStart w:id="30" w:name="X04671dd1d5af2728230bf61d27a4740bf659883"/>
    <w:p>
      <w:pPr>
        <w:pStyle w:val="Heading4"/>
      </w:pPr>
      <w:r>
        <w:t xml:space="preserve">Energy Inputs (Production Phase - Scope 1 &amp; 2)</w:t>
      </w:r>
    </w:p>
    <w:p>
      <w:pPr>
        <w:pStyle w:val="FirstParagraph"/>
      </w:pPr>
      <w:r>
        <w:t xml:space="preserve">Energy consumption during the manufacturing of orwmfjpqef is a significant contributor to the product\'s footprint.</w:t>
      </w:r>
      <w:r>
        <w:br/>
      </w:r>
      <w:r>
        <w:rPr>
          <w:bCs/>
          <w:b/>
        </w:rPr>
        <w:t xml:space="preserve">Energy Intensity:</w:t>
      </w:r>
      <w:r>
        <w:t xml:space="preserve"> </w:t>
      </w:r>
      <w:r>
        <w:t xml:space="preserve">The facility reports an energy intensity of xjlysmjffn kWh/unit for the production of orwmfjpqef.</w:t>
      </w:r>
      <w:r>
        <w:br/>
      </w:r>
      <w:r>
        <w:rPr>
          <w:bCs/>
          <w:b/>
        </w:rPr>
        <w:t xml:space="preserve">Renewable Energy Usage:</w:t>
      </w:r>
      <w:r>
        <w:t xml:space="preserve"> </w:t>
      </w:r>
      <w:r>
        <w:t xml:space="preserve">jdwqfnjukl of the total energy consumed for production is sourced from renewable energy.</w:t>
      </w:r>
    </w:p>
    <w:p>
      <w:pPr>
        <w:pStyle w:val="BodyText"/>
      </w:pPr>
      <w:r>
        <w:rPr>
          <w:iCs/>
          <w:i/>
        </w:rPr>
        <w:t xml:space="preserve">Calculation Note:</w:t>
      </w:r>
      <w:r>
        <w:t xml:space="preserve"> </w:t>
      </w:r>
      <w:r>
        <w:t xml:space="preserve">To determine Scope 2 emissions, the total energy intensity (xjlysmjffn kWh/unit)</w:t>
      </w:r>
      <w:r>
        <w:t xml:space="preserve"> </w:t>
      </w:r>
      <w:r>
        <w:t xml:space="preserve">is disaggregated based on the renewable energy usage percentage (jdwqfnjukl). The non-renewable portion</w:t>
      </w:r>
      <w:r>
        <w:t xml:space="preserve"> </w:t>
      </w:r>
      <w:r>
        <w:t xml:space="preserve">would then be multiplied by the most relevant electricity grid emission factor for China. The renewable</w:t>
      </w:r>
      <w:r>
        <w:t xml:space="preserve"> </w:t>
      </w:r>
      <w:r>
        <w:t xml:space="preserve">portion, if verifiable through instruments like Energy Attribute Certificates (EACs), would have a zero</w:t>
      </w:r>
      <w:r>
        <w:t xml:space="preserve"> </w:t>
      </w:r>
      <w:r>
        <w:t xml:space="preserve">emission factor or an appropriate residual mix factor, reflecting market-based reporting. Scope 1 emissions</w:t>
      </w:r>
      <w:r>
        <w:t xml:space="preserve"> </w:t>
      </w:r>
      <w:r>
        <w:t xml:space="preserve">would account for any direct fuel combustion or process emissions on-site (not explicitly provided, assumed minimal for this illustrative report).</w:t>
      </w:r>
    </w:p>
    <w:bookmarkEnd w:id="30"/>
    <w:bookmarkStart w:id="31" w:name="logistics-data-scope-3-categories-4-9"/>
    <w:p>
      <w:pPr>
        <w:pStyle w:val="Heading4"/>
      </w:pPr>
      <w:r>
        <w:t xml:space="preserve">Logistics Data (Scope 3, Categories 4 &amp; 9)</w:t>
      </w:r>
    </w:p>
    <w:p>
      <w:pPr>
        <w:pStyle w:val="FirstParagraph"/>
      </w:pPr>
      <w:r>
        <w:t xml:space="preserve">Transportation of raw materials to the factory (upstream) and finished products to the consumer (downstream) are key aspects of Scope 3 emissions.</w:t>
      </w:r>
      <w:r>
        <w:br/>
      </w:r>
      <w:r>
        <w:rPr>
          <w:bCs/>
          <w:b/>
        </w:rPr>
        <w:t xml:space="preserve">Transport Mode (Inbound/Outbound):</w:t>
      </w:r>
      <w:r>
        <w:t xml:space="preserve"> </w:t>
      </w:r>
      <w:r>
        <w:t xml:space="preserve">Select Mode.</w:t>
      </w:r>
      <w:r>
        <w:br/>
      </w:r>
      <w:r>
        <w:rPr>
          <w:bCs/>
          <w:b/>
        </w:rPr>
        <w:t xml:space="preserve">Transport Distance:</w:t>
      </w:r>
      <w:r>
        <w:t xml:space="preserve"> </w:t>
      </w:r>
      <w:r>
        <w:t xml:space="preserve">ypnjqejymp.</w:t>
      </w:r>
      <w:r>
        <w:br/>
      </w:r>
      <w:r>
        <w:rPr>
          <w:bCs/>
          <w:b/>
        </w:rPr>
        <w:t xml:space="preserve">Last-Mile Delivery Channel:</w:t>
      </w:r>
      <w:r>
        <w:t xml:space="preserve"> </w:t>
      </w:r>
      <w:r>
        <w:t xml:space="preserve">Delivery Type.</w:t>
      </w:r>
    </w:p>
    <w:p>
      <w:pPr>
        <w:pStyle w:val="BodyText"/>
      </w:pPr>
      <w:r>
        <w:rPr>
          <w:iCs/>
          <w:i/>
        </w:rPr>
        <w:t xml:space="preserve">Calculation Note:</w:t>
      </w:r>
      <w:r>
        <w:t xml:space="preserve"> </w:t>
      </w:r>
      <w:r>
        <w:t xml:space="preserve">For precise calculation, specific transport modes (e.g., ocean freight, rail, road - heavy goods vehicle, air cargo),</w:t>
      </w:r>
      <w:r>
        <w:t xml:space="preserve"> </w:t>
      </w:r>
      <w:r>
        <w:t xml:space="preserve">their respective distances in tonne-kilometers or vehicle-kilometers, and appropriate regional emission factors</w:t>
      </w:r>
      <w:r>
        <w:t xml:space="preserve"> </w:t>
      </w:r>
      <w:r>
        <w:t xml:space="preserve">(e.g., from DEFRA or Ecoinvent for China/Europe focused supply chains) are required. The current placeholders</w:t>
      </w:r>
      <w:r>
        <w:t xml:space="preserve"> </w:t>
      </w:r>
      <w:r>
        <w:t xml:space="preserve">`Select Mode`, `ypnjqejymp`, and `Delivery Type` are descriptive and require further specification for numerical quantification.</w:t>
      </w:r>
    </w:p>
    <w:bookmarkEnd w:id="31"/>
    <w:bookmarkStart w:id="32" w:name="use-phase-data-scope-3-category-11"/>
    <w:p>
      <w:pPr>
        <w:pStyle w:val="Heading4"/>
      </w:pPr>
      <w:r>
        <w:t xml:space="preserve">Use Phase Data (Scope 3, Category 11)</w:t>
      </w:r>
    </w:p>
    <w:p>
      <w:pPr>
        <w:pStyle w:val="FirstParagraph"/>
      </w:pPr>
      <w:r>
        <w:t xml:space="preserve">The product\'s operational phase can be a significant emission hotspot, particularly for energy-consuming products.</w:t>
      </w:r>
      <w:r>
        <w:br/>
      </w:r>
      <w:r>
        <w:rPr>
          <w:bCs/>
          <w:b/>
        </w:rPr>
        <w:t xml:space="preserve">Product Lifespan:</w:t>
      </w:r>
      <w:r>
        <w:t xml:space="preserve"> </w:t>
      </w:r>
      <w:r>
        <w:t xml:space="preserve">tqeekkurxe.</w:t>
      </w:r>
      <w:r>
        <w:br/>
      </w:r>
      <w:r>
        <w:rPr>
          <w:bCs/>
          <w:b/>
        </w:rPr>
        <w:t xml:space="preserve">Energy Consumption in Use:</w:t>
      </w:r>
      <w:r>
        <w:t xml:space="preserve"> </w:t>
      </w:r>
      <w:r>
        <w:t xml:space="preserve">enqovhvmfn (per unit, over its lifespan or per year).</w:t>
      </w:r>
    </w:p>
    <w:p>
      <w:pPr>
        <w:pStyle w:val="BodyText"/>
      </w:pPr>
      <w:r>
        <w:rPr>
          <w:iCs/>
          <w:i/>
        </w:rPr>
        <w:t xml:space="preserve">Calculation Note:</w:t>
      </w:r>
      <w:r>
        <w:t xml:space="preserve"> </w:t>
      </w:r>
      <w:r>
        <w:t xml:space="preserve">The `enqovhvmfn` would be multiplied by the typical electricity grid emission factor</w:t>
      </w:r>
      <w:r>
        <w:t xml:space="preserve"> </w:t>
      </w:r>
      <w:r>
        <w:t xml:space="preserve">of the regions where the product is primarily used (e.g., European average), taking into account the `tqeekkurxe` lifespan.</w:t>
      </w:r>
      <w:r>
        <w:t xml:space="preserve"> </w:t>
      </w:r>
      <w:r>
        <w:t xml:space="preserve">Assumptions about user behavior and energy source mix are critical here.</w:t>
      </w:r>
    </w:p>
    <w:bookmarkEnd w:id="32"/>
    <w:bookmarkStart w:id="33" w:name="X3261202975bfccb1283f2bd5fabef2dfdbe9c90"/>
    <w:p>
      <w:pPr>
        <w:pStyle w:val="Heading4"/>
      </w:pPr>
      <w:r>
        <w:t xml:space="preserve">End-of-Life (EoL) Scenarios (Scope 3, Category 12)</w:t>
      </w:r>
    </w:p>
    <w:p>
      <w:pPr>
        <w:pStyle w:val="FirstParagraph"/>
      </w:pPr>
      <w:r>
        <w:t xml:space="preserve">The end-of-life treatment of the product impacts its overall circular economy performance and associated emissions.</w:t>
      </w:r>
      <w:r>
        <w:br/>
      </w:r>
      <w:r>
        <w:rPr>
          <w:bCs/>
          <w:b/>
        </w:rPr>
        <w:t xml:space="preserve">Recyclability Percentage:</w:t>
      </w:r>
      <w:r>
        <w:t xml:space="preserve"> </w:t>
      </w:r>
      <w:r>
        <w:t xml:space="preserve">eqgpqrfhig.</w:t>
      </w:r>
      <w:r>
        <w:br/>
      </w:r>
      <w:r>
        <w:rPr>
          <w:bCs/>
          <w:b/>
        </w:rPr>
        <w:t xml:space="preserve">Circular/Take-back Programs:</w:t>
      </w:r>
      <w:r>
        <w:t xml:space="preserve"> </w:t>
      </w:r>
      <w:r>
        <w:t xml:space="preserve">ltjoumyvpi.</w:t>
      </w:r>
    </w:p>
    <w:p>
      <w:pPr>
        <w:pStyle w:val="BodyText"/>
      </w:pPr>
      <w:r>
        <w:rPr>
          <w:iCs/>
          <w:i/>
        </w:rPr>
        <w:t xml:space="preserve">Calculation Note:</w:t>
      </w:r>
      <w:r>
        <w:t xml:space="preserve"> </w:t>
      </w:r>
      <w:r>
        <w:t xml:space="preserve">The `eqgpqrfhig` percentage would be used to apply avoided emissions credits for materials</w:t>
      </w:r>
      <w:r>
        <w:t xml:space="preserve"> </w:t>
      </w:r>
      <w:r>
        <w:t xml:space="preserve">recovered and recycled, or to allocate emissions for disposal/incineration for the non-recycled portion, following</w:t>
      </w:r>
      <w:r>
        <w:t xml:space="preserve"> </w:t>
      </w:r>
      <w:r>
        <w:t xml:space="preserve">GHG Protocol EoL methodologies (e.g., "avoided burden" or "recycled content"). The description of `ltjoumyvpi` programs</w:t>
      </w:r>
      <w:r>
        <w:t xml:space="preserve"> </w:t>
      </w:r>
      <w:r>
        <w:t xml:space="preserve">would provide qualitative and potentially quantitative data points to refine these allocations by demonstrating active circularity efforts.</w:t>
      </w:r>
    </w:p>
    <w:bookmarkEnd w:id="33"/>
    <w:bookmarkEnd w:id="34"/>
    <w:bookmarkStart w:id="36" w:name="X02471b082767dbf8b09051660771d828c231a10"/>
    <w:p>
      <w:pPr>
        <w:pStyle w:val="Heading3"/>
      </w:pPr>
      <w:r>
        <w:t xml:space="preserve">4. Emissions Calculation and GHG Protocol Categorization (Illustrative)</w:t>
      </w:r>
    </w:p>
    <w:p>
      <w:pPr>
        <w:pStyle w:val="FirstParagraph"/>
      </w:pPr>
      <w:r>
        <w:t xml:space="preserve">Based on the provided data parameters, emissions for orwmfjpqef would be calculated and categorized according to the GHG Protocol.</w:t>
      </w:r>
      <w:r>
        <w:t xml:space="preserve"> </w:t>
      </w:r>
      <w:r>
        <w:t xml:space="preserve">Due to the placeholder nature of some inputs, specific numerical values for emissions are illustrative examples only.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 Category</w:t>
            </w:r>
          </w:p>
        </w:tc>
        <w:tc>
          <w:tcPr/>
          <w:p>
            <w:pPr>
              <w:pStyle w:val="Compact"/>
              <w:jc w:val="left"/>
            </w:pPr>
            <w:r>
              <w:t xml:space="preserve">Source/Activity</w:t>
            </w:r>
          </w:p>
        </w:tc>
        <w:tc>
          <w:tcPr/>
          <w:p>
            <w:pPr>
              <w:pStyle w:val="Compact"/>
              <w:jc w:val="left"/>
            </w:pPr>
            <w:r>
              <w:t xml:space="preserve">Illustrative Emissions (kg CO2e / functional unit)</w:t>
            </w:r>
          </w:p>
        </w:tc>
        <w:tc>
          <w:tcPr/>
          <w:p>
            <w:pPr>
              <w:pStyle w:val="Compact"/>
              <w:jc w:val="left"/>
            </w:pPr>
            <w:r>
              <w:t xml:space="preserve">Notes</w:t>
            </w:r>
          </w:p>
        </w:tc>
        <w:tc>
          <w:tcPr/>
          <w:p>
            <w:pPr>
              <w:pStyle w:val="Compact"/>
            </w:pPr>
          </w:p>
        </w:tc>
      </w:tr>
      <w:tr>
        <w:tc>
          <w:tcPr/>
          <w:p>
            <w:pPr>
              <w:pStyle w:val="Compact"/>
              <w:jc w:val="left"/>
            </w:pPr>
            <w:r>
              <w:rPr>
                <w:bCs/>
                <w:b/>
              </w:rPr>
              <w:t xml:space="preserve">Scope 1: Direct Emissions</w:t>
            </w:r>
          </w:p>
        </w:tc>
        <w:tc>
          <w:tcPr/>
          <w:p>
            <w:pPr>
              <w:pStyle w:val="Compact"/>
              <w:jc w:val="left"/>
            </w:pPr>
            <w:r>
              <w:t xml:space="preserve">Direct emissions from owned or controlled sources (e.g., on-site fuel combustion for heating or processes, fugitive emissions).</w:t>
            </w:r>
          </w:p>
        </w:tc>
        <w:tc>
          <w:tcPr/>
          <w:p>
            <w:pPr>
              <w:pStyle w:val="Compact"/>
              <w:jc w:val="left"/>
            </w:pPr>
            <w:r>
              <w:t xml:space="preserve">0.50</w:t>
            </w:r>
          </w:p>
        </w:tc>
        <w:tc>
          <w:tcPr/>
          <w:p>
            <w:pPr>
              <w:pStyle w:val="Compact"/>
              <w:jc w:val="left"/>
            </w:pPr>
            <w:r>
              <w:t xml:space="preserve">Assumes minimal direct process or combustion emissions not covered by purchased energy.</w:t>
            </w:r>
          </w:p>
        </w:tc>
        <w:tc>
          <w:tcPr/>
          <w:p>
            <w:pPr>
              <w:pStyle w:val="Compact"/>
            </w:pPr>
          </w:p>
        </w:tc>
      </w:tr>
      <w:tr>
        <w:tc>
          <w:tcPr/>
          <w:p>
            <w:pPr>
              <w:pStyle w:val="Compact"/>
              <w:jc w:val="left"/>
            </w:pPr>
            <w:r>
              <w:rPr>
                <w:bCs/>
                <w:b/>
              </w:rPr>
              <w:t xml:space="preserve">Scope 2: Purchased Energy</w:t>
            </w:r>
          </w:p>
        </w:tc>
        <w:tc>
          <w:tcPr/>
          <w:p>
            <w:pPr>
              <w:pStyle w:val="Compact"/>
              <w:jc w:val="left"/>
            </w:pPr>
            <w:r>
              <w:t xml:space="preserve">Indirect emissions from the generation of purchased electricity, steam, heating, or cooling consumed by fseqtgzikt\'s manufacturing facility in China.</w:t>
            </w:r>
          </w:p>
        </w:tc>
        <w:tc>
          <w:tcPr/>
          <w:p>
            <w:pPr>
              <w:pStyle w:val="Compact"/>
              <w:jc w:val="left"/>
            </w:pPr>
            <w:r>
              <w:t xml:space="preserve">8.00</w:t>
            </w:r>
          </w:p>
        </w:tc>
        <w:tc>
          <w:tcPr/>
          <w:p>
            <w:pPr>
              <w:pStyle w:val="Compact"/>
              <w:jc w:val="left"/>
            </w:pPr>
            <w:r>
              <w:t xml:space="preserve">Calculated based on `xjlysmjffn` kWh/unit and `jdwqfnjukl` renewable energy usage, using China\'s grid emission factor for the non-renewable portion.</w:t>
            </w:r>
          </w:p>
        </w:tc>
        <w:tc>
          <w:tcPr/>
          <w:p>
            <w:pPr>
              <w:pStyle w:val="Compact"/>
            </w:pPr>
          </w:p>
        </w:tc>
      </w:tr>
      <w:tr>
        <w:tc>
          <w:tcPr>
            <w:vMerge w:val="restart"/>
          </w:tcPr>
          <w:p>
            <w:pPr>
              <w:pStyle w:val="Compact"/>
              <w:jc w:val="left"/>
            </w:pPr>
            <w:r>
              <w:rPr>
                <w:bCs/>
                <w:b/>
              </w:rPr>
              <w:t xml:space="preserve">Scope 3: Value Chain Emissions</w:t>
            </w:r>
            <w:r>
              <w:t xml:space="preserve"> </w:t>
            </w:r>
            <w:r>
              <w:t xml:space="preserve">(at least 95% coverage per 2026 requirements)</w:t>
            </w:r>
          </w:p>
        </w:tc>
        <w:tc>
          <w:tcPr/>
          <w:p>
            <w:pPr>
              <w:pStyle w:val="Compact"/>
              <w:jc w:val="left"/>
            </w:pPr>
            <w:r>
              <w:rPr>
                <w:bCs/>
                <w:b/>
              </w:rPr>
              <w:t xml:space="preserve">Category 1: Purchased Goods and Services</w:t>
            </w:r>
            <w:r>
              <w:t xml:space="preserve"> </w:t>
            </w:r>
            <w:r>
              <w:t xml:space="preserve">(Raw materials and components)</w:t>
            </w:r>
          </w:p>
        </w:tc>
        <w:tc>
          <w:tcPr/>
          <w:p>
            <w:pPr>
              <w:pStyle w:val="Compact"/>
              <w:jc w:val="left"/>
            </w:pPr>
            <w:r>
              <w:t xml:space="preserve">30.14</w:t>
            </w:r>
          </w:p>
        </w:tc>
        <w:tc>
          <w:tcPr/>
          <w:p>
            <w:pPr>
              <w:pStyle w:val="Compact"/>
              <w:jc w:val="left"/>
            </w:pPr>
            <w:r>
              <w:t xml:space="preserve">Based on illustrative BOM data (from `ntmospqo` structure) and specific material emission factors. This category typically represents a significant hotspot.</w:t>
            </w:r>
          </w:p>
        </w:tc>
        <w:tc>
          <w:tcPr/>
          <w:p>
            <w:pPr>
              <w:pStyle w:val="Compact"/>
            </w:pPr>
          </w:p>
        </w:tc>
      </w:tr>
      <w:tr>
        <w:tc>
          <w:tcPr>
            <w:gridSpan w:val="1"/>
            <w:vMerge w:val="continue"/>
          </w:tcPr>
          <w:p>
            <w:pPr/>
          </w:p>
        </w:tc>
        <w:tc>
          <w:tcPr/>
          <w:p>
            <w:pPr>
              <w:pStyle w:val="Compact"/>
              <w:jc w:val="left"/>
            </w:pPr>
            <w:r>
              <w:rPr>
                <w:bCs/>
                <w:b/>
              </w:rPr>
              <w:t xml:space="preserve">Category 4: Upstream Transportation and Distribution</w:t>
            </w:r>
            <w:r>
              <w:t xml:space="preserve"> </w:t>
            </w:r>
            <w:r>
              <w:t xml:space="preserve">(Inbound logistics)</w:t>
            </w:r>
          </w:p>
        </w:tc>
        <w:tc>
          <w:tcPr/>
          <w:p>
            <w:pPr>
              <w:pStyle w:val="Compact"/>
              <w:jc w:val="left"/>
            </w:pPr>
            <w:r>
              <w:t xml:space="preserve">3.20</w:t>
            </w:r>
          </w:p>
        </w:tc>
        <w:tc>
          <w:tcPr/>
          <w:p>
            <w:pPr>
              <w:pStyle w:val="Compact"/>
              <w:jc w:val="left"/>
            </w:pPr>
            <w:r>
              <w:t xml:space="preserve">Estimates based on `Select Mode`, `ypnjqejymp` and typical supply chain distances/modes from Europe to China, using average emission factors for generic modes.</w:t>
            </w:r>
          </w:p>
        </w:tc>
        <w:tc>
          <w:tcPr/>
          <w:p>
            <w:pPr>
              <w:pStyle w:val="Compact"/>
            </w:pPr>
          </w:p>
        </w:tc>
      </w:tr>
      <w:tr>
        <w:tc>
          <w:tcPr>
            <w:gridSpan w:val="1"/>
            <w:vMerge w:val="continue"/>
          </w:tcPr>
          <w:p>
            <w:pPr/>
          </w:p>
        </w:tc>
        <w:tc>
          <w:tcPr/>
          <w:p>
            <w:pPr>
              <w:pStyle w:val="Compact"/>
              <w:jc w:val="left"/>
            </w:pPr>
            <w:r>
              <w:rPr>
                <w:bCs/>
                <w:b/>
              </w:rPr>
              <w:t xml:space="preserve">Category 9: Downstream Transportation and Distribution</w:t>
            </w:r>
            <w:r>
              <w:t xml:space="preserve"> </w:t>
            </w:r>
            <w:r>
              <w:t xml:space="preserve">(Outbound logistics &amp; Last-Mile Delivery)</w:t>
            </w:r>
          </w:p>
        </w:tc>
        <w:tc>
          <w:tcPr/>
          <w:p>
            <w:pPr>
              <w:pStyle w:val="Compact"/>
              <w:jc w:val="left"/>
            </w:pPr>
            <w:r>
              <w:t xml:space="preserve">1.50</w:t>
            </w:r>
          </w:p>
        </w:tc>
        <w:tc>
          <w:tcPr/>
          <w:p>
            <w:pPr>
              <w:pStyle w:val="Compact"/>
              <w:jc w:val="left"/>
            </w:pPr>
            <w:r>
              <w:t xml:space="preserve">Estimates based on `Select Mode`, `ypnjqejymp` and `Delivery Type` for final product distribution, using average emission factors.</w:t>
            </w:r>
          </w:p>
        </w:tc>
        <w:tc>
          <w:tcPr/>
          <w:p>
            <w:pPr>
              <w:pStyle w:val="Compact"/>
            </w:pPr>
          </w:p>
        </w:tc>
      </w:tr>
      <w:tr>
        <w:tc>
          <w:tcPr>
            <w:gridSpan w:val="1"/>
            <w:vMerge w:val="continue"/>
          </w:tcPr>
          <w:p>
            <w:pPr/>
          </w:p>
        </w:tc>
        <w:tc>
          <w:tcPr/>
          <w:p>
            <w:pPr>
              <w:pStyle w:val="Compact"/>
              <w:jc w:val="left"/>
            </w:pPr>
            <w:r>
              <w:rPr>
                <w:bCs/>
                <w:b/>
              </w:rPr>
              <w:t xml:space="preserve">Category 11: Use of Sold Products</w:t>
            </w:r>
          </w:p>
        </w:tc>
        <w:tc>
          <w:tcPr/>
          <w:p>
            <w:pPr>
              <w:pStyle w:val="Compact"/>
              <w:jc w:val="left"/>
            </w:pPr>
            <w:r>
              <w:t xml:space="preserve">15.00</w:t>
            </w:r>
          </w:p>
        </w:tc>
        <w:tc>
          <w:tcPr/>
          <w:p>
            <w:pPr>
              <w:pStyle w:val="Compact"/>
              <w:jc w:val="left"/>
            </w:pPr>
            <w:r>
              <w:t xml:space="preserve">Based on `tqeekkurxe` lifespan and `enqovhvmfn` energy consumption, utilizing an average European electricity grid mix emission factor.</w:t>
            </w:r>
          </w:p>
        </w:tc>
        <w:tc>
          <w:tcPr/>
          <w:p>
            <w:pPr>
              <w:pStyle w:val="Compact"/>
            </w:pPr>
          </w:p>
        </w:tc>
      </w:tr>
      <w:tr>
        <w:tc>
          <w:tcPr>
            <w:gridSpan w:val="1"/>
            <w:vMerge w:val="continue"/>
          </w:tcPr>
          <w:p>
            <w:pPr/>
          </w:p>
        </w:tc>
        <w:tc>
          <w:tcPr/>
          <w:p>
            <w:pPr>
              <w:pStyle w:val="Compact"/>
              <w:jc w:val="left"/>
            </w:pPr>
            <w:r>
              <w:rPr>
                <w:bCs/>
                <w:b/>
              </w:rPr>
              <w:t xml:space="preserve">Category 12: End-of-Life Treatment of Sold Products</w:t>
            </w:r>
          </w:p>
        </w:tc>
        <w:tc>
          <w:tcPr/>
          <w:p>
            <w:pPr>
              <w:pStyle w:val="Compact"/>
              <w:jc w:val="left"/>
            </w:pPr>
            <w:r>
              <w:t xml:space="preserve">-2.00</w:t>
            </w:r>
          </w:p>
        </w:tc>
        <w:tc>
          <w:tcPr/>
          <w:p>
            <w:pPr>
              <w:pStyle w:val="Compact"/>
              <w:jc w:val="left"/>
            </w:pPr>
            <w:r>
              <w:t xml:space="preserve">Reflects impact of `eqgpqrfhig` recyclability and `ltjoumyvpi` programs. A negative value indicates avoided emissions from recycling/recovery processes.</w:t>
            </w:r>
          </w:p>
        </w:tc>
        <w:tc>
          <w:tcPr/>
          <w:p>
            <w:pPr>
              <w:pStyle w:val="Compact"/>
            </w:pPr>
          </w:p>
        </w:tc>
      </w:tr>
      <w:tr>
        <w:tc>
          <w:tcPr>
            <w:gridSpan w:val="3"/>
          </w:tcPr>
          <w:p>
            <w:pPr>
              <w:pStyle w:val="Compact"/>
              <w:jc w:val="right"/>
            </w:pPr>
            <w:r>
              <w:t xml:space="preserve">Total Product Carbon Footprint (Illustrative)</w:t>
            </w:r>
          </w:p>
        </w:tc>
        <w:tc>
          <w:tcPr/>
          <w:p>
            <w:pPr>
              <w:pStyle w:val="Compact"/>
              <w:jc w:val="left"/>
            </w:pPr>
            <w:r>
              <w:rPr>
                <w:bCs/>
                <w:b/>
              </w:rPr>
              <w:t xml:space="preserve">~56.34 kg CO2e</w:t>
            </w:r>
          </w:p>
        </w:tc>
        <w:tc>
          <w:tcPr/>
          <w:p>
            <w:pPr>
              <w:pStyle w:val="Compact"/>
              <w:jc w:val="left"/>
            </w:pPr>
            <w:r>
              <w:t xml:space="preserve">Sum of all scope emissions. Actual value would require precise input data.</w:t>
            </w:r>
          </w:p>
        </w:tc>
      </w:tr>
    </w:tbl>
    <w:p>
      <w:pPr>
        <w:pStyle w:val="BodyText"/>
      </w:pPr>
      <w:r>
        <w:rPr>
          <w:iCs/>
          <w:i/>
        </w:rPr>
        <w:t xml:space="preserve">(Note: The numerical values in the table above are illustrative examples to demonstrate how calculation results would be presented. Precise calculations require concrete, non-placeholder input data for each parameter.)</w:t>
      </w:r>
    </w:p>
    <w:bookmarkStart w:id="35" w:name="application-of-2026-lsr-update"/>
    <w:p>
      <w:pPr>
        <w:pStyle w:val="Heading4"/>
      </w:pPr>
      <w:r>
        <w:t xml:space="preserve">Application of 2026 LSR Update</w:t>
      </w:r>
    </w:p>
    <w:p>
      <w:pPr>
        <w:pStyle w:val="FirstParagraph"/>
      </w:pPr>
      <w:r>
        <w:t xml:space="preserve">The 2026 Land Sector and Removals (LSR) Standard is applied by:</w:t>
      </w:r>
    </w:p>
    <w:p>
      <w:pPr>
        <w:numPr>
          <w:ilvl w:val="0"/>
          <w:numId w:val="1007"/>
        </w:numPr>
        <w:pStyle w:val="Compact"/>
      </w:pPr>
      <w:r>
        <w:t xml:space="preserve">Considering emissions and removals from direct and indirect land use changes associated with raw material sourcing (e.g., potential deforestation for biomass-derived materials or specific agricultural products within the BOM).</w:t>
      </w:r>
    </w:p>
    <w:p>
      <w:pPr>
        <w:numPr>
          <w:ilvl w:val="0"/>
          <w:numId w:val="1007"/>
        </w:numPr>
        <w:pStyle w:val="Compact"/>
      </w:pPr>
      <w:r>
        <w:t xml:space="preserve">Accounting for biogenic carbon where relevant in material flows, ensuring transparent reporting of carbon uptake and release from biomass over the product\'s lifecycle.</w:t>
      </w:r>
    </w:p>
    <w:p>
      <w:pPr>
        <w:numPr>
          <w:ilvl w:val="0"/>
          <w:numId w:val="1007"/>
        </w:numPr>
        <w:pStyle w:val="Compact"/>
      </w:pPr>
      <w:r>
        <w:t xml:space="preserve">Integrating land-based carbon removals (e.g., from sustainable forestry, soil carbon sequestration, or carbon capture technologies within the value chain) into the overall PCF, reported separately for clarity and to avoid double-counting.</w:t>
      </w:r>
    </w:p>
    <w:p>
      <w:pPr>
        <w:pStyle w:val="FirstParagraph"/>
      </w:pPr>
      <w:r>
        <w:t xml:space="preserve">For orwmfjpqef, any land-intensive materials identified within the detailed BOM (ntmospqo) would be rigorously assessed against LSR guidelines to quantify their specific land use impacts and potential removals.</w:t>
      </w:r>
    </w:p>
    <w:bookmarkEnd w:id="35"/>
    <w:bookmarkEnd w:id="36"/>
    <w:bookmarkStart w:id="37" w:name="review-reporting"/>
    <w:p>
      <w:pPr>
        <w:pStyle w:val="Heading3"/>
      </w:pPr>
      <w:r>
        <w:t xml:space="preserve">5. Review &amp; Reporting</w:t>
      </w:r>
    </w:p>
    <w:p>
      <w:pPr>
        <w:pStyle w:val="FirstParagraph"/>
      </w:pPr>
      <w:r>
        <w:rPr>
          <w:bCs/>
          <w:b/>
        </w:rPr>
        <w:t xml:space="preserve">Emission Hotspots:</w:t>
      </w:r>
      <w:r>
        <w:t xml:space="preserve"> </w:t>
      </w:r>
      <w:r>
        <w:t xml:space="preserve">Based on the illustrative analysis, primary hotspots for the orwmfjpqef product are likely to be:</w:t>
      </w:r>
    </w:p>
    <w:p>
      <w:pPr>
        <w:numPr>
          <w:ilvl w:val="0"/>
          <w:numId w:val="1008"/>
        </w:numPr>
        <w:pStyle w:val="Compact"/>
      </w:pPr>
      <w:r>
        <w:rPr>
          <w:bCs/>
          <w:b/>
        </w:rPr>
        <w:t xml:space="preserve">Raw Material Acquisition (Scope 3, Category 1):</w:t>
      </w:r>
      <w:r>
        <w:t xml:space="preserve"> </w:t>
      </w:r>
      <w:r>
        <w:t xml:space="preserve">Given the assumed complexity of the BOM (ntmospqo) with materials like silicon and metals, the extraction and processing of these foundational components often dominate a product\'s overall footprint.</w:t>
      </w:r>
    </w:p>
    <w:p>
      <w:pPr>
        <w:numPr>
          <w:ilvl w:val="0"/>
          <w:numId w:val="1008"/>
        </w:numPr>
        <w:pStyle w:val="Compact"/>
      </w:pPr>
      <w:r>
        <w:rPr>
          <w:bCs/>
          <w:b/>
        </w:rPr>
        <w:t xml:space="preserve">Use Phase (Scope 3, Category 11):</w:t>
      </w:r>
      <w:r>
        <w:t xml:space="preserve"> </w:t>
      </w:r>
      <w:r>
        <w:t xml:space="preserve">If the `enqovhvmfn` represents significant energy consumption over the `tqeekkurxe` lifespan, this phase will be a major contributor, especially if the product is primarily used in regions with carbon-intensive electricity grids.</w:t>
      </w:r>
    </w:p>
    <w:p>
      <w:pPr>
        <w:numPr>
          <w:ilvl w:val="0"/>
          <w:numId w:val="1008"/>
        </w:numPr>
        <w:pStyle w:val="Compact"/>
      </w:pPr>
      <w:r>
        <w:rPr>
          <w:bCs/>
          <w:b/>
        </w:rPr>
        <w:t xml:space="preserve">Manufacturing Energy (Scope 2):</w:t>
      </w:r>
      <w:r>
        <w:t xml:space="preserve"> </w:t>
      </w:r>
      <w:r>
        <w:t xml:space="preserve">While the `jdwqfnjukl` renewable energy usage helps mitigate emissions, the remaining non-renewable energy consumed in China\'s grid for production can still represent a substantial portion of the footprint.</w:t>
      </w:r>
    </w:p>
    <w:p>
      <w:pPr>
        <w:pStyle w:val="FirstParagraph"/>
      </w:pPr>
      <w:r>
        <w:t xml:space="preserve">These hotspots indicate key areas for fseqtgzikt to focus its mitigation efforts, such as material substitution, optimizing energy efficiency in manufacturing, sourcing renewable energy, or designing for lower energy consumption during product use.</w:t>
      </w:r>
    </w:p>
    <w:p>
      <w:pPr>
        <w:pStyle w:val="BodyText"/>
      </w:pPr>
      <w:r>
        <w:rPr>
          <w:bCs/>
          <w:b/>
        </w:rPr>
        <w:t xml:space="preserve">Reliability and Limitations:</w:t>
      </w:r>
      <w:r>
        <w:t xml:space="preserve"> </w:t>
      </w:r>
      <w:r>
        <w:t xml:space="preserve">The methodology applied adheres to the stringent requirements of the GHG Protocol, including the 2026 LSR update and Scope 3 coverage. However, the reliability of this report\'s quantitative results is directly proportional to the detail and accuracy of the primary data provided. Given the illustrative nature of some input parameters (e.g., `ypnjqejymp`, `Select Mode`, and the abstract `ntmospqo` string for BOM data), the specific numerical values presented should not be used for absolute claims without further data validation and substitution of placeholders with concrete, verified figures. The report structure and methodological application are robust, providing a strong framework for a precise PCF once all required data is supplied.</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orwmfjpqef</dc:title>
  <dc:creator/>
  <dc:description>High-detail Product Carbon Footprint (PCF) analysis report for orwmfjpqef, conducted by gtxshdslkj using GHG Protocol standards for fseqtgzikt.</dc:description>
  <dc:language>en</dc:language>
  <cp:keywords/>
  <dcterms:created xsi:type="dcterms:W3CDTF">2026-07-15T13:39:33Z</dcterms:created>
  <dcterms:modified xsi:type="dcterms:W3CDTF">2026-07-15T13:39:33Z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