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orttptrxxo</w:t>
      </w:r>
    </w:p>
    <w:bookmarkStart w:id="20" w:name="carboncalcpcf.com"/>
    <w:p>
      <w:pPr>
        <w:pStyle w:val="Heading1"/>
      </w:pPr>
      <w:r>
        <w:t xml:space="preserve">carboncalcpcf.com</w:t>
      </w:r>
    </w:p>
    <w:bookmarkEnd w:id="20"/>
    <w:bookmarkStart w:id="21"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orttptrxxo</w:t>
      </w:r>
    </w:p>
    <w:p>
      <w:pPr>
        <w:pStyle w:val="BodyText"/>
      </w:pPr>
      <w:r>
        <w:rPr>
          <w:bCs/>
          <w:b/>
        </w:rPr>
        <w:t xml:space="preserve">Company Name:</w:t>
      </w:r>
      <w:r>
        <w:t xml:space="preserve"> </w:t>
      </w:r>
      <w:r>
        <w:t xml:space="preserve">tiugsmeqrh</w:t>
      </w:r>
    </w:p>
    <w:p>
      <w:pPr>
        <w:pStyle w:val="BodyText"/>
      </w:pPr>
      <w:r>
        <w:rPr>
          <w:bCs/>
          <w:b/>
        </w:rPr>
        <w:t xml:space="preserve">Senior Sustainability Consultant:</w:t>
      </w:r>
      <w:r>
        <w:t xml:space="preserve"> </w:t>
      </w:r>
      <w:r>
        <w:t xml:space="preserve">hgfuqhhett</w:t>
      </w:r>
    </w:p>
    <w:p>
      <w:pPr>
        <w:pStyle w:val="BodyText"/>
      </w:pPr>
      <w:r>
        <w:rPr>
          <w:bCs/>
          <w:b/>
        </w:rPr>
        <w:t xml:space="preserve">Accounting Standard:</w:t>
      </w:r>
      <w:r>
        <w:t xml:space="preserve"> </w:t>
      </w:r>
      <w:r>
        <w:t xml:space="preserve">GHG Protocol</w:t>
      </w:r>
    </w:p>
    <w:p>
      <w:pPr>
        <w:pStyle w:val="BodyText"/>
      </w:pPr>
      <w:r>
        <w:rPr>
          <w:iCs/>
          <w:i/>
        </w:rPr>
        <w:t xml:space="preserve">This report is generated based on available data and industry standards. While efforts have been made to ensure accuracy, the results are subject to the quality and completeness of the input parameters and assumed emission factors. Specific parameters provided as literal placeholders have been supplemented with reasonable assumptions for calculation purposes.</w:t>
      </w:r>
    </w:p>
    <w:bookmarkEnd w:id="21"/>
    <w:bookmarkStart w:id="22" w:name="Xb8c76f5485993ccc7f99281e873a0a6814e73e7"/>
    <w:p>
      <w:pPr>
        <w:pStyle w:val="Heading1"/>
      </w:pPr>
      <w:r>
        <w:t xml:space="preserve">Product Carbon Footprint (PCF) Analysis Report for orttptrxxo</w:t>
      </w:r>
    </w:p>
    <w:p>
      <w:pPr>
        <w:pStyle w:val="FirstParagraph"/>
      </w:pPr>
      <w:r>
        <w:t xml:space="preserve">Generated Date: May 19, 2026</w:t>
      </w:r>
    </w:p>
    <w:p>
      <w:pPr>
        <w:pStyle w:val="BodyText"/>
      </w:pPr>
      <w:r>
        <w:t xml:space="preserve">Prepared by: hgfuqhhett, Senior Sustainability Consultant</w:t>
      </w:r>
    </w:p>
    <w:p>
      <w:pPr>
        <w:pStyle w:val="BodyText"/>
      </w:pPr>
      <w:r>
        <w:t xml:space="preserve">Company: tiugsmeqrh</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orttptrxxo</w:t>
      </w:r>
      <w:r>
        <w:t xml:space="preserve"> </w:t>
      </w:r>
      <w:r>
        <w:t xml:space="preserve">manufactured by</w:t>
      </w:r>
      <w:r>
        <w:t xml:space="preserve"> </w:t>
      </w:r>
      <w:r>
        <w:rPr>
          <w:bCs/>
          <w:b/>
        </w:rPr>
        <w:t xml:space="preserve">tiugsmeqrh</w:t>
      </w:r>
      <w:r>
        <w:t xml:space="preserve">. The analysis, conducted by Senior Sustainability Consultant</w:t>
      </w:r>
      <w:r>
        <w:t xml:space="preserve"> </w:t>
      </w:r>
      <w:r>
        <w:rPr>
          <w:bCs/>
          <w:b/>
        </w:rPr>
        <w:t xml:space="preserve">hgfuqhhett</w:t>
      </w:r>
      <w:r>
        <w:t xml:space="preserve">, adheres to the GHG Protocol standards, including considerations for the 2026 Land Sector and Removals (LSR) update and stringent Scope 3 coverage requirements. The total estimated carbon footprint for the functional unit of 1.0 unit of orttptrxxo is</w:t>
      </w:r>
      <w:r>
        <w:t xml:space="preserve"> </w:t>
      </w:r>
      <w:r>
        <w:rPr>
          <w:bCs/>
          <w:b/>
        </w:rPr>
        <w:t xml:space="preserve">12.60 kg CO2e</w:t>
      </w:r>
      <w:r>
        <w:t xml:space="preserve">. Key hotspots identified include raw material acquisition and the product\'s use phase, indicating areas for strategic intervention to reduce environmental impact.</w:t>
      </w:r>
    </w:p>
    <w:p>
      <w:r>
        <w:pict>
          <v:rect style="width:0;height:1.5pt" o:hralign="center" o:hrstd="t" o:hr="t"/>
        </w:pict>
      </w:r>
    </w:p>
    <w:bookmarkEnd w:id="23"/>
    <w:bookmarkStart w:id="27" w:name="methodology-and-scope-definition"/>
    <w:p>
      <w:pPr>
        <w:pStyle w:val="Heading2"/>
      </w:pPr>
      <w:r>
        <w:t xml:space="preserve">1. Methodology and Scope Definition</w:t>
      </w:r>
    </w:p>
    <w:p>
      <w:pPr>
        <w:pStyle w:val="FirstParagraph"/>
      </w:pPr>
      <w:r>
        <w:t xml:space="preserve">This PCF analysis follows a five-step methodology in accordance with the GHG Protocol, ensuring a structured and comprehensive assessment of greenhouse gas emissions across the product\'s lifecycle.</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1.0 unit. This represents the reference unit to which all inputs and outputs are related.</w:t>
      </w:r>
    </w:p>
    <w:p>
      <w:pPr>
        <w:numPr>
          <w:ilvl w:val="0"/>
          <w:numId w:val="1001"/>
        </w:numPr>
        <w:pStyle w:val="Compact"/>
      </w:pPr>
      <w:r>
        <w:rPr>
          <w:bCs/>
          <w:b/>
        </w:rPr>
        <w:t xml:space="preserve">System Boundary:</w:t>
      </w:r>
      <w:r>
        <w:t xml:space="preserve"> </w:t>
      </w:r>
      <w:r>
        <w:t xml:space="preserve">factory_gate, with consideration for upstream (raw materials, manufacturing transport) and downstream (use phase, end-of-life, last-mile delivery) impacts. This covers cradle-to-grave aspects from the perspective of the factory\'s output.</w:t>
      </w:r>
    </w:p>
    <w:p>
      <w:pPr>
        <w:numPr>
          <w:ilvl w:val="0"/>
          <w:numId w:val="1001"/>
        </w:numPr>
        <w:pStyle w:val="Compact"/>
      </w:pPr>
      <w:r>
        <w:rPr>
          <w:bCs/>
          <w:b/>
        </w:rPr>
        <w:t xml:space="preserve">Geographic Scope:</w:t>
      </w:r>
      <w:r>
        <w:t xml:space="preserve"> </w:t>
      </w:r>
      <w:r>
        <w:t xml:space="preserve">Final production occurs in</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processes. This influences the selection of regional emission factors where applicable.</w:t>
      </w:r>
    </w:p>
    <w:p>
      <w:pPr>
        <w:numPr>
          <w:ilvl w:val="0"/>
          <w:numId w:val="1001"/>
        </w:numPr>
        <w:pStyle w:val="Compact"/>
      </w:pPr>
      <w:r>
        <w:rPr>
          <w:bCs/>
          <w:b/>
        </w:rPr>
        <w:t xml:space="preserve">Allocation:</w:t>
      </w:r>
      <w:r>
        <w:t xml:space="preserve"> </w:t>
      </w:r>
      <w:r>
        <w:t xml:space="preserve">Emissions are allocated directly to the functional unit based on mass and energy inputs. No co-product or recycling allocation credits are explicitly calculated in this primary assessment but are considered qualitatively through recyclability and circular programs.</w:t>
      </w:r>
    </w:p>
    <w:p>
      <w:pPr>
        <w:numPr>
          <w:ilvl w:val="0"/>
          <w:numId w:val="1001"/>
        </w:numPr>
        <w:pStyle w:val="Compact"/>
      </w:pPr>
      <w:r>
        <w:rPr>
          <w:bCs/>
          <w:b/>
        </w:rPr>
        <w:t xml:space="preserve">Accounting Standard:</w:t>
      </w:r>
      <w:r>
        <w:t xml:space="preserve"> </w:t>
      </w:r>
      <w:r>
        <w:t xml:space="preserve">The analysis strictly adheres to the</w:t>
      </w:r>
      <w:r>
        <w:t xml:space="preserve"> </w:t>
      </w:r>
      <w:r>
        <w:rPr>
          <w:bCs/>
          <w:b/>
        </w:rPr>
        <w:t xml:space="preserve">GHG Protocol</w:t>
      </w:r>
      <w:r>
        <w:t xml:space="preserve">, categorizing emissions into Scope 1, Scope 2, and Scope 3.</w:t>
      </w:r>
    </w:p>
    <w:bookmarkEnd w:id="24"/>
    <w:bookmarkStart w:id="25" w:name="lifecycle-mapping-lci-inventory-stages"/>
    <w:p>
      <w:pPr>
        <w:pStyle w:val="Heading3"/>
      </w:pPr>
      <w:r>
        <w:t xml:space="preserve">1.2. Lifecycle Mapping (LCI Inventory Stages)</w:t>
      </w:r>
    </w:p>
    <w:p>
      <w:pPr>
        <w:pStyle w:val="FirstParagraph"/>
      </w:pPr>
      <w:r>
        <w:t xml:space="preserve">The product lifecycle is mapped into the following stages, facilitating data collection and emission calculation:</w:t>
      </w:r>
    </w:p>
    <w:p>
      <w:pPr>
        <w:numPr>
          <w:ilvl w:val="0"/>
          <w:numId w:val="1002"/>
        </w:numPr>
        <w:pStyle w:val="Compact"/>
      </w:pPr>
      <w:r>
        <w:rPr>
          <w:bCs/>
          <w:b/>
        </w:rPr>
        <w:t xml:space="preserve">Raw Material Acquisition &amp; Processing:</w:t>
      </w:r>
      <w:r>
        <w:t xml:space="preserve"> </w:t>
      </w:r>
      <w:r>
        <w:t xml:space="preserve">Extraction, processing, and refining of materials.</w:t>
      </w:r>
    </w:p>
    <w:p>
      <w:pPr>
        <w:numPr>
          <w:ilvl w:val="0"/>
          <w:numId w:val="1002"/>
        </w:numPr>
        <w:pStyle w:val="Compact"/>
      </w:pPr>
      <w:r>
        <w:rPr>
          <w:bCs/>
          <w:b/>
        </w:rPr>
        <w:t xml:space="preserve">Manufacturing:</w:t>
      </w:r>
      <w:r>
        <w:t xml:space="preserve"> </w:t>
      </w:r>
      <w:r>
        <w:t xml:space="preserve">Production processes at the factory, including energy consumption.</w:t>
      </w:r>
    </w:p>
    <w:p>
      <w:pPr>
        <w:numPr>
          <w:ilvl w:val="0"/>
          <w:numId w:val="1002"/>
        </w:numPr>
        <w:pStyle w:val="Compact"/>
      </w:pPr>
      <w:r>
        <w:rPr>
          <w:bCs/>
          <w:b/>
        </w:rPr>
        <w:t xml:space="preserve">Transport:</w:t>
      </w:r>
      <w:r>
        <w:t xml:space="preserve"> </w:t>
      </w:r>
      <w:r>
        <w:t xml:space="preserve">Inbound logistics of materials to the factory and outbound logistics to the customer (including last-mile).</w:t>
      </w:r>
    </w:p>
    <w:p>
      <w:pPr>
        <w:numPr>
          <w:ilvl w:val="0"/>
          <w:numId w:val="1002"/>
        </w:numPr>
        <w:pStyle w:val="Compact"/>
      </w:pPr>
      <w:r>
        <w:t xml:space="preserve">Use Phase: Energy consumption and other impacts during the product\'s active life.</w:t>
      </w:r>
    </w:p>
    <w:p>
      <w:pPr>
        <w:numPr>
          <w:ilvl w:val="0"/>
          <w:numId w:val="1002"/>
        </w:numPr>
        <w:pStyle w:val="Compact"/>
      </w:pPr>
      <w:r>
        <w:rPr>
          <w:bCs/>
          <w:b/>
        </w:rPr>
        <w:t xml:space="preserve">End-of-Life:</w:t>
      </w:r>
      <w:r>
        <w:t xml:space="preserve"> </w:t>
      </w:r>
      <w:r>
        <w:t xml:space="preserve">Disposal or recycling of the product at the end of its useful life.</w:t>
      </w:r>
    </w:p>
    <w:bookmarkEnd w:id="25"/>
    <w:bookmarkStart w:id="26" w:name="X7b6d01ce7b6bfe45f00681616505557cddf238f"/>
    <w:p>
      <w:pPr>
        <w:pStyle w:val="Heading3"/>
      </w:pPr>
      <w:r>
        <w:t xml:space="preserve">1.3. Data Collection (Primary/Secondary Data Points)</w:t>
      </w:r>
    </w:p>
    <w:p>
      <w:pPr>
        <w:pStyle w:val="FirstParagraph"/>
      </w:pPr>
      <w:r>
        <w:t xml:space="preserve">Data was collected from various sources as specified by the project parameters:</w:t>
      </w:r>
    </w:p>
    <w:p>
      <w:pPr>
        <w:numPr>
          <w:ilvl w:val="0"/>
          <w:numId w:val="1003"/>
        </w:numPr>
        <w:pStyle w:val="Compact"/>
      </w:pPr>
      <w:r>
        <w:rPr>
          <w:bCs/>
          <w:b/>
        </w:rPr>
        <w:t xml:space="preserve">Primary Data:</w:t>
      </w:r>
      <w:r>
        <w:t xml:space="preserve"> </w:t>
      </w:r>
      <w:r>
        <w:t xml:space="preserve">Detailed Bill of Materials (represented by a structured example for \'xezzedkx\'), production energy usage (\'lqrnvxouym\', \'xlktwdvesj\'), transport details (\'Select Mode\', \'djnejomryz\', \'Delivery Type\'), product lifespan (\'njmjxsqgoq\'), energy consumption in use (\'wnongowpmg\'), recyclability percentage (\'vvkiqzwyfm\'), and circular program information (\'sujqiyxprj\'). Where literal placeholder strings were provided, reasonable default assumptions have been made for calculations.</w:t>
      </w:r>
    </w:p>
    <w:p>
      <w:pPr>
        <w:numPr>
          <w:ilvl w:val="0"/>
          <w:numId w:val="1003"/>
        </w:numPr>
        <w:pStyle w:val="Compact"/>
      </w:pPr>
      <w:r>
        <w:rPr>
          <w:bCs/>
          <w:b/>
        </w:rPr>
        <w:t xml:space="preserve">Secondary Data:</w:t>
      </w:r>
      <w:r>
        <w:t xml:space="preserve"> </w:t>
      </w:r>
      <w:r>
        <w:t xml:space="preserve">Industry-standard emission factors were utilized for processes where primary data was unavailable or for general background processes. These factors are representative of commonly accepted values (e.g., from databases like Ecoinvent or DEFRA, where applicable).</w:t>
      </w:r>
    </w:p>
    <w:p>
      <w:r>
        <w:pict>
          <v:rect style="width:0;height:1.5pt" o:hralign="center" o:hrstd="t" o:hr="t"/>
        </w:pict>
      </w:r>
    </w:p>
    <w:bookmarkEnd w:id="26"/>
    <w:bookmarkEnd w:id="27"/>
    <w:bookmarkStart w:id="33" w:name="detailed-lifecycle-inventory-lci"/>
    <w:p>
      <w:pPr>
        <w:pStyle w:val="Heading2"/>
      </w:pPr>
      <w:r>
        <w:t xml:space="preserve">2. Detailed Lifecycle Inventory (LCI)</w:t>
      </w:r>
    </w:p>
    <w:p>
      <w:pPr>
        <w:pStyle w:val="FirstParagraph"/>
      </w:pPr>
      <w:r>
        <w:t xml:space="preserve">This section provides a detailed breakdown of the material and energy inputs for</w:t>
      </w:r>
      <w:r>
        <w:t xml:space="preserve"> </w:t>
      </w:r>
      <w:r>
        <w:rPr>
          <w:bCs/>
          <w:b/>
        </w:rPr>
        <w:t xml:space="preserve">orttptrxxo</w:t>
      </w:r>
      <w:r>
        <w:t xml:space="preserve">.</w:t>
      </w:r>
    </w:p>
    <w:bookmarkStart w:id="28" w:name="material-inputs-bill-of-materials"/>
    <w:p>
      <w:pPr>
        <w:pStyle w:val="Heading3"/>
      </w:pPr>
      <w:r>
        <w:t xml:space="preserve">2.1. Material Inputs (Bill of Materials)</w:t>
      </w:r>
    </w:p>
    <w:p>
      <w:pPr>
        <w:pStyle w:val="FirstParagraph"/>
      </w:pPr>
      <w:r>
        <w:t xml:space="preserve">The detailed Bill of Materials (BOM) was provided as the literal string \'xezzedkx\'. As this string does not contain parseable data in the specified format (ID, Description, Category, Process, Qty, Unit, Emission Factor, Total Carbon), a representative structured BOM has been generated for the purpose of this analysis and its calculations, adhering to the described format. The \'Total Carbon\' values within this representative BOM are used to calculate the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Component</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2.00</w:t>
            </w:r>
          </w:p>
        </w:tc>
        <w:tc>
          <w:tcPr/>
          <w:p>
            <w:pPr>
              <w:pStyle w:val="Compact"/>
              <w:jc w:val="left"/>
            </w:pPr>
            <w:r>
              <w:t xml:space="preserve">5.00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3.50</w:t>
            </w:r>
          </w:p>
        </w:tc>
        <w:tc>
          <w:tcPr/>
          <w:p>
            <w:pPr>
              <w:pStyle w:val="Compact"/>
              <w:jc w:val="left"/>
            </w:pPr>
            <w:r>
              <w:t xml:space="preserve">2.80</w:t>
            </w:r>
          </w:p>
        </w:tc>
      </w:tr>
      <w:tr>
        <w:tc>
          <w:tcPr/>
          <w:p>
            <w:pPr>
              <w:pStyle w:val="Compact"/>
              <w:jc w:val="left"/>
            </w:pPr>
            <w:r>
              <w:t xml:space="preserve">3</w:t>
            </w:r>
          </w:p>
        </w:tc>
        <w:tc>
          <w:tcPr/>
          <w:p>
            <w:pPr>
              <w:pStyle w:val="Compact"/>
              <w:jc w:val="left"/>
            </w:pPr>
            <w:r>
              <w:t xml:space="preserve">Electronic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80.00</w:t>
            </w:r>
          </w:p>
        </w:tc>
        <w:tc>
          <w:tcPr/>
          <w:p>
            <w:pPr>
              <w:pStyle w:val="Compact"/>
              <w:jc w:val="left"/>
            </w:pPr>
            <w:r>
              <w:t xml:space="preserve">4.00</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0.24</w:t>
            </w:r>
          </w:p>
        </w:tc>
      </w:tr>
      <w:tr>
        <w:tc>
          <w:tcPr>
            <w:gridSpan w:val="7"/>
          </w:tcPr>
          <w:p>
            <w:pPr>
              <w:pStyle w:val="Compact"/>
              <w:jc w:val="right"/>
            </w:pPr>
            <w:r>
              <w:t xml:space="preserve">Total Material Emissions (Upstream)</w:t>
            </w:r>
          </w:p>
        </w:tc>
        <w:tc>
          <w:tcPr/>
          <w:p>
            <w:pPr>
              <w:pStyle w:val="Compact"/>
              <w:jc w:val="left"/>
            </w:pPr>
            <w:r>
              <w:t xml:space="preserve">12.04</w:t>
            </w:r>
          </w:p>
        </w:tc>
      </w:tr>
    </w:tbl>
    <w:bookmarkEnd w:id="28"/>
    <w:bookmarkStart w:id="29" w:name="energy-inputs-and-production-data"/>
    <w:p>
      <w:pPr>
        <w:pStyle w:val="Heading3"/>
      </w:pPr>
      <w:r>
        <w:t xml:space="preserve">2.2. Energy Inputs and Production Data</w:t>
      </w:r>
    </w:p>
    <w:p>
      <w:pPr>
        <w:numPr>
          <w:ilvl w:val="0"/>
          <w:numId w:val="1004"/>
        </w:numPr>
        <w:pStyle w:val="Compact"/>
      </w:pPr>
      <w:r>
        <w:rPr>
          <w:bCs/>
          <w:b/>
        </w:rPr>
        <w:t xml:space="preserve">Energy Intensity (kWh/unit):</w:t>
      </w:r>
      <w:r>
        <w:t xml:space="preserve"> </w:t>
      </w:r>
      <w:r>
        <w:t xml:space="preserve">10.00 kWh/unit (based on provided \'lqrnvxouym\', defaulting to 10.0 kWh/unit if unparseable).</w:t>
      </w:r>
    </w:p>
    <w:p>
      <w:pPr>
        <w:numPr>
          <w:ilvl w:val="0"/>
          <w:numId w:val="1004"/>
        </w:numPr>
        <w:pStyle w:val="Compact"/>
      </w:pPr>
      <w:r>
        <w:t xml:space="preserve">Renewable Energy Usage: 50.0% (based on provided \'xlktwdvesj\', defaulting to 50% if unparseable). This percentage of energy consumed during production is sourced from renewable means, reducing associated grid electricity emissions.</w:t>
      </w:r>
    </w:p>
    <w:p>
      <w:pPr>
        <w:numPr>
          <w:ilvl w:val="0"/>
          <w:numId w:val="1004"/>
        </w:numPr>
        <w:pStyle w:val="Compact"/>
      </w:pPr>
      <w:r>
        <w:rPr>
          <w:bCs/>
          <w:b/>
        </w:rPr>
        <w:t xml:space="preserve">Non-Renewable Energy (calculated):</w:t>
      </w:r>
      <w:r>
        <w:t xml:space="preserve"> </w:t>
      </w:r>
      <w:r>
        <w:t xml:space="preserve">5.00 kWh/unit.</w:t>
      </w:r>
    </w:p>
    <w:p>
      <w:pPr>
        <w:numPr>
          <w:ilvl w:val="0"/>
          <w:numId w:val="1004"/>
        </w:numPr>
        <w:pStyle w:val="Compact"/>
      </w:pPr>
      <w:r>
        <w:rPr>
          <w:bCs/>
          <w:b/>
        </w:rPr>
        <w:t xml:space="preserve">Final Production Country:</w:t>
      </w:r>
      <w:r>
        <w:t xml:space="preserve"> </w:t>
      </w:r>
      <w:r>
        <w:t xml:space="preserve">China. The grid mix emission factor for China (0.6205 kg CO2e/kWh) is applied for non-renewable electricity consumption during manufacturing.</w:t>
      </w:r>
    </w:p>
    <w:bookmarkEnd w:id="29"/>
    <w:bookmarkStart w:id="30" w:name="logistics-data"/>
    <w:p>
      <w:pPr>
        <w:pStyle w:val="Heading3"/>
      </w:pPr>
      <w:r>
        <w:t xml:space="preserve">2.3. Logistics Data</w:t>
      </w:r>
    </w:p>
    <w:p>
      <w:pPr>
        <w:numPr>
          <w:ilvl w:val="0"/>
          <w:numId w:val="1005"/>
        </w:numPr>
        <w:pStyle w:val="Compact"/>
      </w:pPr>
      <w:r>
        <w:rPr>
          <w:bCs/>
          <w:b/>
        </w:rPr>
        <w:t xml:space="preserve">Primary Transport Mode:</w:t>
      </w:r>
      <w:r>
        <w:t xml:space="preserve"> </w:t>
      </w:r>
      <w:r>
        <w:t xml:space="preserve">Select Mode (Assumed road freight due to \'Select Mode\') (based on provided \'Select Mode\', assumed road freight).</w:t>
      </w:r>
    </w:p>
    <w:p>
      <w:pPr>
        <w:numPr>
          <w:ilvl w:val="0"/>
          <w:numId w:val="1005"/>
        </w:numPr>
        <w:pStyle w:val="Compact"/>
      </w:pPr>
      <w:r>
        <w:rPr>
          <w:bCs/>
          <w:b/>
        </w:rPr>
        <w:t xml:space="preserve">Primary Transport Distance:</w:t>
      </w:r>
      <w:r>
        <w:t xml:space="preserve"> </w:t>
      </w:r>
      <w:r>
        <w:t xml:space="preserve">500 km (based on provided \'djnejomryz\', defaulting to 500 km if unparseable).</w:t>
      </w:r>
    </w:p>
    <w:p>
      <w:pPr>
        <w:numPr>
          <w:ilvl w:val="0"/>
          <w:numId w:val="1005"/>
        </w:numPr>
        <w:pStyle w:val="Compact"/>
      </w:pPr>
      <w:r>
        <w:rPr>
          <w:bCs/>
          <w:b/>
        </w:rPr>
        <w:t xml:space="preserve">Last-Mile Delivery Channel:</w:t>
      </w:r>
      <w:r>
        <w:t xml:space="preserve"> </w:t>
      </w:r>
      <w:r>
        <w:t xml:space="preserve">Delivery Type (Assumed last-mile road transport) (based on provided \'Delivery Type\', assumed last-mile road transport).</w:t>
      </w:r>
    </w:p>
    <w:p>
      <w:pPr>
        <w:numPr>
          <w:ilvl w:val="0"/>
          <w:numId w:val="1005"/>
        </w:numPr>
        <w:pStyle w:val="Compact"/>
      </w:pPr>
      <w:r>
        <w:rPr>
          <w:bCs/>
          <w:b/>
        </w:rPr>
        <w:t xml:space="preserve">Assumed Total Product Mass (for transport):</w:t>
      </w:r>
      <w:r>
        <w:t xml:space="preserve"> </w:t>
      </w:r>
      <w:r>
        <w:t xml:space="preserve">3.50 kg.</w:t>
      </w:r>
    </w:p>
    <w:bookmarkEnd w:id="30"/>
    <w:bookmarkStart w:id="31" w:name="use-phase-data"/>
    <w:p>
      <w:pPr>
        <w:pStyle w:val="Heading3"/>
      </w:pPr>
      <w:r>
        <w:t xml:space="preserve">2.4. Use Phase Data</w:t>
      </w:r>
    </w:p>
    <w:p>
      <w:pPr>
        <w:numPr>
          <w:ilvl w:val="0"/>
          <w:numId w:val="1006"/>
        </w:numPr>
        <w:pStyle w:val="Compact"/>
      </w:pPr>
      <w:r>
        <w:rPr>
          <w:bCs/>
          <w:b/>
        </w:rPr>
        <w:t xml:space="preserve">Product Lifespan:</w:t>
      </w:r>
      <w:r>
        <w:t xml:space="preserve"> </w:t>
      </w:r>
      <w:r>
        <w:t xml:space="preserve">5 years (1825 days) (based on provided \'njmjxsqgoq\', defaulting to 5 years if unparseable).</w:t>
      </w:r>
    </w:p>
    <w:p>
      <w:pPr>
        <w:numPr>
          <w:ilvl w:val="0"/>
          <w:numId w:val="1006"/>
        </w:numPr>
        <w:pStyle w:val="Compact"/>
      </w:pPr>
      <w:r>
        <w:rPr>
          <w:bCs/>
          <w:b/>
        </w:rPr>
        <w:t xml:space="preserve">Energy Consumption in Use:</w:t>
      </w:r>
      <w:r>
        <w:t xml:space="preserve"> </w:t>
      </w:r>
      <w:r>
        <w:t xml:space="preserve">0.1 kWh/day (0.10 kWh/day) (based on provided \'wnongowpmg\', defaulting to 0.1 kWh/day if unparseable).</w:t>
      </w:r>
    </w:p>
    <w:bookmarkEnd w:id="31"/>
    <w:bookmarkStart w:id="32" w:name="end-of-life-data"/>
    <w:p>
      <w:pPr>
        <w:pStyle w:val="Heading3"/>
      </w:pPr>
      <w:r>
        <w:t xml:space="preserve">2.5. End-of-Life Data</w:t>
      </w:r>
    </w:p>
    <w:p>
      <w:pPr>
        <w:numPr>
          <w:ilvl w:val="0"/>
          <w:numId w:val="1007"/>
        </w:numPr>
        <w:pStyle w:val="Compact"/>
      </w:pPr>
      <w:r>
        <w:rPr>
          <w:bCs/>
          <w:b/>
        </w:rPr>
        <w:t xml:space="preserve">Recyclability Percentage:</w:t>
      </w:r>
      <w:r>
        <w:t xml:space="preserve"> </w:t>
      </w:r>
      <w:r>
        <w:t xml:space="preserve">70.0% (based on provided \'vvkiqzwyfm\', defaulting to 70% if unparseable).</w:t>
      </w:r>
    </w:p>
    <w:p>
      <w:pPr>
        <w:numPr>
          <w:ilvl w:val="0"/>
          <w:numId w:val="1007"/>
        </w:numPr>
        <w:pStyle w:val="Compact"/>
      </w:pPr>
      <w:r>
        <w:rPr>
          <w:bCs/>
          <w:b/>
        </w:rPr>
        <w:t xml:space="preserve">Circular/Take-back Programs:</w:t>
      </w:r>
      <w:r>
        <w:t xml:space="preserve"> </w:t>
      </w:r>
      <w:r>
        <w:t xml:space="preserve">sujqiyxprj. Information on specific circular/take-back programs (\'sujqiyxprj\') was provided as a literal string. Without further detail, specific quantitative impacts cannot be assessed. Such programs generally aim to reduce waste and keep materials in use longer.</w:t>
      </w:r>
    </w:p>
    <w:p>
      <w:r>
        <w:pict>
          <v:rect style="width:0;height:1.5pt" o:hralign="center" o:hrstd="t" o:hr="t"/>
        </w:pict>
      </w:r>
    </w:p>
    <w:bookmarkEnd w:id="32"/>
    <w:bookmarkEnd w:id="33"/>
    <w:bookmarkStart w:id="37" w:name="Xdd0f433185fde5fd9508eee9e1e7bcaa542b608"/>
    <w:p>
      <w:pPr>
        <w:pStyle w:val="Heading2"/>
      </w:pPr>
      <w:r>
        <w:t xml:space="preserve">3. Emission Calculation and GHG Protocol Categorization</w:t>
      </w:r>
    </w:p>
    <w:p>
      <w:pPr>
        <w:pStyle w:val="FirstParagraph"/>
      </w:pPr>
      <w:r>
        <w:t xml:space="preserve">Emissions are calculated by multiplying activity data by relevant emission factors (Activity × Emission Factor = CO2e). These emissions are then categorized according to the GHG Protocol\'s Scope 1, Scope 2, and Scope 3 definitions.</w:t>
      </w:r>
    </w:p>
    <w:bookmarkStart w:id="34" w:name="X80944e28c792d84586001a2e93ee2998203b6da"/>
    <w:p>
      <w:pPr>
        <w:pStyle w:val="Heading3"/>
      </w:pPr>
      <w:r>
        <w:t xml:space="preserve">3.1. Emission Factors Used (Industry-Standard Assumptions)</w:t>
      </w:r>
    </w:p>
    <w:p>
      <w:pPr>
        <w:pStyle w:val="FirstParagraph"/>
      </w:pPr>
      <w:r>
        <w:t xml:space="preserve">The following industry-standard emission factors are used for calculations, primarily derived from generic averages representative of databases like Ecoinvent or DEFRA, as informed by recent literature:</w:t>
      </w:r>
    </w:p>
    <w:p>
      <w:pPr>
        <w:numPr>
          <w:ilvl w:val="0"/>
          <w:numId w:val="1008"/>
        </w:numPr>
        <w:pStyle w:val="Compact"/>
      </w:pPr>
      <w:r>
        <w:t xml:space="preserve">Electricity (China Grid Mix, 2023): 0.6205 kg CO2e/kWh</w:t>
      </w:r>
    </w:p>
    <w:p>
      <w:pPr>
        <w:numPr>
          <w:ilvl w:val="0"/>
          <w:numId w:val="1008"/>
        </w:numPr>
        <w:pStyle w:val="Compact"/>
      </w:pPr>
      <w:r>
        <w:t xml:space="preserve">Road Freight (Heavy Goods Vehicle, average): 0.062 kg CO2e/tkm</w:t>
      </w:r>
    </w:p>
    <w:p>
      <w:pPr>
        <w:numPr>
          <w:ilvl w:val="0"/>
          <w:numId w:val="1008"/>
        </w:numPr>
        <w:pStyle w:val="Compact"/>
      </w:pPr>
      <w:r>
        <w:t xml:space="preserve">Sea Freight (Container Ship, average): 0.016 kg CO2e/tkm</w:t>
      </w:r>
    </w:p>
    <w:p>
      <w:pPr>
        <w:numPr>
          <w:ilvl w:val="0"/>
          <w:numId w:val="1008"/>
        </w:numPr>
        <w:pStyle w:val="Compact"/>
      </w:pPr>
      <w:r>
        <w:t xml:space="preserve">Air Freight (Long Haul, average): 0.600 kg CO2e/tkm</w:t>
      </w:r>
    </w:p>
    <w:p>
      <w:pPr>
        <w:numPr>
          <w:ilvl w:val="0"/>
          <w:numId w:val="1008"/>
        </w:numPr>
        <w:pStyle w:val="Compact"/>
      </w:pPr>
      <w:r>
        <w:t xml:space="preserve">Waste to Landfill (Mixed): 0.50 kg CO2e/kg</w:t>
      </w:r>
    </w:p>
    <w:bookmarkEnd w:id="34"/>
    <w:bookmarkStart w:id="35" w:name="emissions-by-scope"/>
    <w:p>
      <w:pPr>
        <w:pStyle w:val="Heading3"/>
      </w:pPr>
      <w:r>
        <w:t xml:space="preserve">3.2.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 (Direct Emissions)</w:t>
            </w:r>
          </w:p>
        </w:tc>
        <w:tc>
          <w:tcPr/>
          <w:p>
            <w:pPr>
              <w:pStyle w:val="Compact"/>
              <w:jc w:val="left"/>
            </w:pPr>
            <w:r>
              <w:t xml:space="preserve">Emissions from sources owned or controlled by tiugsmeqrh (e.g., direct combustion in owned boilers, vehicles). For this PCF analysis with a \'factory_gate\' boundary, direct combustion for manufacturing is assumed minimal or covered by electricity.</w:t>
            </w:r>
          </w:p>
        </w:tc>
        <w:tc>
          <w:tcPr/>
          <w:p>
            <w:pPr>
              <w:pStyle w:val="Compact"/>
              <w:jc w:val="left"/>
            </w:pPr>
            <w:r>
              <w:t xml:space="preserve">0.00</w:t>
            </w:r>
          </w:p>
        </w:tc>
      </w:tr>
      <w:tr>
        <w:tc>
          <w:tcPr/>
          <w:p>
            <w:pPr>
              <w:pStyle w:val="Compact"/>
              <w:jc w:val="left"/>
            </w:pPr>
            <w:r>
              <w:rPr>
                <w:bCs/>
                <w:b/>
              </w:rPr>
              <w:t xml:space="preserve">Scope 2 (Energy Indirect Emissions)</w:t>
            </w:r>
          </w:p>
        </w:tc>
        <w:tc>
          <w:tcPr/>
          <w:p>
            <w:pPr>
              <w:pStyle w:val="Compact"/>
              <w:jc w:val="left"/>
            </w:pPr>
            <w:r>
              <w:t xml:space="preserve">Emissions from the generation of purchased electricity, steam, heat, or cooling consumed by tiugsmeqrh. Specifically, non-renewable electricity used in manufacturing.</w:t>
            </w:r>
          </w:p>
        </w:tc>
        <w:tc>
          <w:tcPr/>
          <w:p>
            <w:pPr>
              <w:pStyle w:val="Compact"/>
              <w:jc w:val="left"/>
            </w:pPr>
            <w:r>
              <w:t xml:space="preserve">3.10</w:t>
            </w:r>
          </w:p>
        </w:tc>
      </w:tr>
      <w:tr>
        <w:tc>
          <w:tcPr/>
          <w:p>
            <w:pPr>
              <w:pStyle w:val="Compact"/>
              <w:jc w:val="left"/>
            </w:pPr>
            <w:r>
              <w:rPr>
                <w:bCs/>
                <w:b/>
              </w:rPr>
              <w:t xml:space="preserve">Scope 3 (Other Indirect Emissions)</w:t>
            </w:r>
          </w:p>
        </w:tc>
        <w:tc>
          <w:tcPr/>
          <w:p>
            <w:pPr>
              <w:pStyle w:val="Compact"/>
              <w:jc w:val="left"/>
            </w:pPr>
            <w:r>
              <w:t xml:space="preserve">All other indirect emissions that occur in the value chain of tiugsmeqrh, both upstream and downstream, which are not covered in Scope 1 or 2.</w:t>
            </w:r>
          </w:p>
        </w:tc>
        <w:tc>
          <w:tcPr/>
          <w:p>
            <w:pPr>
              <w:pStyle w:val="Compact"/>
              <w:jc w:val="left"/>
            </w:pPr>
            <w:r>
              <w:t xml:space="preserve">9.50</w:t>
            </w:r>
          </w:p>
        </w:tc>
      </w:tr>
      <w:tr>
        <w:tc>
          <w:tcPr>
            <w:gridSpan w:val="2"/>
          </w:tcPr>
          <w:p>
            <w:pPr>
              <w:pStyle w:val="Compact"/>
              <w:jc w:val="right"/>
            </w:pPr>
            <w:r>
              <w:t xml:space="preserve">Total Product Carbon Footprint (PCF)</w:t>
            </w:r>
          </w:p>
        </w:tc>
        <w:tc>
          <w:tcPr/>
          <w:p>
            <w:pPr>
              <w:pStyle w:val="Compact"/>
              <w:jc w:val="left"/>
            </w:pPr>
            <w:r>
              <w:t xml:space="preserve">12.60</w:t>
            </w:r>
          </w:p>
        </w:tc>
      </w:tr>
    </w:tbl>
    <w:bookmarkEnd w:id="35"/>
    <w:bookmarkStart w:id="36" w:name="X873d9b6a69fadd291a1044131a67f35dc764d29"/>
    <w:p>
      <w:pPr>
        <w:pStyle w:val="Heading3"/>
      </w:pPr>
      <w:r>
        <w:t xml:space="preserve">3.3. Emissions by Lifecycle Stage (Scope 3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12.04</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Transport (Inbound Logistics)</w:t>
            </w:r>
          </w:p>
        </w:tc>
        <w:tc>
          <w:tcPr/>
          <w:p>
            <w:pPr>
              <w:pStyle w:val="Compact"/>
              <w:jc w:val="left"/>
            </w:pPr>
            <w:r>
              <w:t xml:space="preserve">Scope 3 (Upstream)</w:t>
            </w:r>
          </w:p>
        </w:tc>
        <w:tc>
          <w:tcPr/>
          <w:p>
            <w:pPr>
              <w:pStyle w:val="Compact"/>
              <w:jc w:val="left"/>
            </w:pPr>
            <w:r>
              <w:t xml:space="preserve">0.11</w:t>
            </w:r>
          </w:p>
        </w:tc>
      </w:tr>
      <w:tr>
        <w:tc>
          <w:tcPr/>
          <w:p>
            <w:pPr>
              <w:pStyle w:val="Compact"/>
              <w:jc w:val="left"/>
            </w:pPr>
            <w:r>
              <w:t xml:space="preserve">Transport (Last-Mile Delivery)</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113.29</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0.53</w:t>
            </w:r>
          </w:p>
        </w:tc>
      </w:tr>
      <w:tr>
        <w:tc>
          <w:tcPr>
            <w:gridSpan w:val="2"/>
          </w:tcPr>
          <w:p>
            <w:pPr>
              <w:pStyle w:val="Compact"/>
              <w:jc w:val="right"/>
            </w:pPr>
            <w:r>
              <w:t xml:space="preserve">Total Product Carbon Footprint (PCF)</w:t>
            </w:r>
          </w:p>
        </w:tc>
        <w:tc>
          <w:tcPr/>
          <w:p>
            <w:pPr>
              <w:pStyle w:val="Compact"/>
              <w:jc w:val="left"/>
            </w:pPr>
            <w:r>
              <w:t xml:space="preserve">12.60</w:t>
            </w:r>
          </w:p>
        </w:tc>
      </w:tr>
    </w:tbl>
    <w:p>
      <w:r>
        <w:pict>
          <v:rect style="width:0;height:1.5pt" o:hralign="center" o:hrstd="t" o:hr="t"/>
        </w:pict>
      </w:r>
    </w:p>
    <w:bookmarkEnd w:id="36"/>
    <w:bookmarkEnd w:id="37"/>
    <w:bookmarkStart w:id="42" w:name="review-and-reporting"/>
    <w:p>
      <w:pPr>
        <w:pStyle w:val="Heading2"/>
      </w:pPr>
      <w:r>
        <w:t xml:space="preserve">4. Review and Reporting</w:t>
      </w:r>
    </w:p>
    <w:bookmarkStart w:id="38" w:name="hotspot-identification"/>
    <w:p>
      <w:pPr>
        <w:pStyle w:val="Heading3"/>
      </w:pPr>
      <w:r>
        <w:t xml:space="preserve">4.1. Hotspot Identification</w:t>
      </w:r>
    </w:p>
    <w:p>
      <w:pPr>
        <w:pStyle w:val="FirstParagraph"/>
      </w:pPr>
      <w:r>
        <w:t xml:space="preserve">Based on the calculations, the primary emission hotspots for orttptrxxo are:</w:t>
      </w:r>
    </w:p>
    <w:p>
      <w:pPr>
        <w:numPr>
          <w:ilvl w:val="0"/>
          <w:numId w:val="1009"/>
        </w:numPr>
        <w:pStyle w:val="Compact"/>
      </w:pPr>
      <w:r>
        <w:rPr>
          <w:bCs/>
          <w:b/>
        </w:rPr>
        <w:t xml:space="preserve">Raw Material Acquisition &amp; Processing:</w:t>
      </w:r>
      <w:r>
        <w:t xml:space="preserve"> </w:t>
      </w:r>
      <w:r>
        <w:t xml:space="preserve">Accounting for 95.5% of the total PCF, this stage represents the largest contributor. High-impact materials or inefficient extraction/processing are likely drivers.</w:t>
      </w:r>
    </w:p>
    <w:p>
      <w:pPr>
        <w:numPr>
          <w:ilvl w:val="0"/>
          <w:numId w:val="1009"/>
        </w:numPr>
        <w:pStyle w:val="Compact"/>
      </w:pPr>
      <w:r>
        <w:rPr>
          <w:bCs/>
          <w:b/>
        </w:rPr>
        <w:t xml:space="preserve">Use Phase:</w:t>
      </w:r>
      <w:r>
        <w:t xml:space="preserve"> </w:t>
      </w:r>
      <w:r>
        <w:t xml:space="preserve">Contributing 90.0% of the total PCF, the energy consumption during the product\'s lifespan is a significant factor. Opportunities for energy efficiency improvements in product design or promoting renewable energy sources for users are critical.</w:t>
      </w:r>
    </w:p>
    <w:p>
      <w:pPr>
        <w:numPr>
          <w:ilvl w:val="0"/>
          <w:numId w:val="1009"/>
        </w:numPr>
        <w:pStyle w:val="Compact"/>
      </w:pPr>
      <w:r>
        <w:rPr>
          <w:bCs/>
          <w:b/>
        </w:rPr>
        <w:t xml:space="preserve">Manufacturing Energy (Scope 2):</w:t>
      </w:r>
      <w:r>
        <w:t xml:space="preserve"> </w:t>
      </w:r>
      <w:r>
        <w:t xml:space="preserve">Although 50.0% renewable energy is used, the remaining non-renewable electricity contributes 24.6% to the total, highlighting the importance of transitioning to 100% renewable energy in production.</w:t>
      </w:r>
    </w:p>
    <w:bookmarkEnd w:id="38"/>
    <w:bookmarkStart w:id="39" w:name="reliability-and-limitations"/>
    <w:p>
      <w:pPr>
        <w:pStyle w:val="Heading3"/>
      </w:pPr>
      <w:r>
        <w:t xml:space="preserve">4.2. Reliability and Limitations</w:t>
      </w:r>
    </w:p>
    <w:p>
      <w:pPr>
        <w:pStyle w:val="FirstParagraph"/>
      </w:pPr>
      <w:r>
        <w:t xml:space="preserve">The reliability of this PCF analysis is contingent on the accuracy of the provided primary data and the representativeness of the assumed secondary emission factors. Where literal placeholder strings were provided for key parameters (e.g., \'xezzedkx\', \'Select Mode\', \'lqrnvxouym\'), calculations relied on general assumptions and representative data. While best efforts were made to align with industry standards, specific regional emission factors or more detailed process-level data would refine the results further. This report serves as a high-level assessment and a foundation for more granular analysis with additional primary data.</w:t>
      </w:r>
    </w:p>
    <w:bookmarkEnd w:id="39"/>
    <w:bookmarkStart w:id="40" w:name="lsr-update-application"/>
    <w:p>
      <w:pPr>
        <w:pStyle w:val="Heading3"/>
      </w:pPr>
      <w:r>
        <w:t xml:space="preserve">4.3. 2026 LSR Update Application</w:t>
      </w:r>
    </w:p>
    <w:p>
      <w:pPr>
        <w:pStyle w:val="FirstParagraph"/>
      </w:pPr>
      <w:r>
        <w:t xml:space="preserve">The 2026 Land Sector and Removals (LSR) Standard was released on January 30, 2026, and will take effect on January 1, 2027. It provides detailed accounting requirements for land-related emissions and removals, including land management, land use change, and CO2 removals. While specific land use change data for raw material sourcing or the factory footprint is not directly provided in the parameters for this PCF, this analysis acknowledges the importance of such impacts. Future iterations will integrate detailed land use data for a more comprehensive LSR-compliant assessment, particularly for bio-based materials or processes with significant land footprint.</w:t>
      </w:r>
    </w:p>
    <w:bookmarkEnd w:id="40"/>
    <w:bookmarkStart w:id="41" w:name="scope-3-compliance-2026-requirements"/>
    <w:p>
      <w:pPr>
        <w:pStyle w:val="Heading3"/>
      </w:pPr>
      <w:r>
        <w:t xml:space="preserve">4.4. Scope 3 Compliance (2026 Requirements)</w:t>
      </w:r>
    </w:p>
    <w:p>
      <w:pPr>
        <w:pStyle w:val="FirstParagraph"/>
      </w:pPr>
      <w:r>
        <w:t xml:space="preserve">The GHG Protocol\'s proposed 2026 revisions to the Scope 3 Standard introduce a mandatory 95% coverage threshold for \'required\' Scope 3 emissions (Categories 1-15), with a requirement to quantify and justify any exclusions. With detailed Bill of Materials, production energy, transport, use phase, and end-of-life data, this analysis aims for high coverage of the most material Scope 3 categories within a \'factory_gate\' boundary and downstream phases. The data points considered (raw materials, manufacturing transport, product use, end-of-life, and last-mile delivery) are expected to cover the majority of significant emissions for this product\'s value chain, working towards meeting or exceeding the 95% threshold.</w:t>
      </w:r>
    </w:p>
    <w:p>
      <w:r>
        <w:pict>
          <v:rect style="width:0;height:1.5pt" o:hralign="center" o:hrstd="t" o:hr="t"/>
        </w:pict>
      </w:r>
    </w:p>
    <w:bookmarkEnd w:id="41"/>
    <w:bookmarkEnd w:id="42"/>
    <w:bookmarkStart w:id="43" w:name="conclusion-and-recommendations"/>
    <w:p>
      <w:pPr>
        <w:pStyle w:val="Heading2"/>
      </w:pPr>
      <w:r>
        <w:t xml:space="preserve">Conclusion and Recommendations</w:t>
      </w:r>
    </w:p>
    <w:p>
      <w:pPr>
        <w:pStyle w:val="FirstParagraph"/>
      </w:pPr>
      <w:r>
        <w:t xml:space="preserve">The PCF analysis provides critical insights into the environmental footprint of orttptrxxo. To significantly reduce the product\'s carbon intensity,</w:t>
      </w:r>
      <w:r>
        <w:t xml:space="preserve"> </w:t>
      </w:r>
      <w:r>
        <w:rPr>
          <w:bCs/>
          <w:b/>
        </w:rPr>
        <w:t xml:space="preserve">tiugsmeqrh</w:t>
      </w:r>
      <w:r>
        <w:t xml:space="preserve"> </w:t>
      </w:r>
      <w:r>
        <w:t xml:space="preserve">should focus on:</w:t>
      </w:r>
    </w:p>
    <w:p>
      <w:pPr>
        <w:numPr>
          <w:ilvl w:val="0"/>
          <w:numId w:val="1010"/>
        </w:numPr>
        <w:pStyle w:val="Compact"/>
      </w:pPr>
      <w:r>
        <w:rPr>
          <w:bCs/>
          <w:b/>
        </w:rPr>
        <w:t xml:space="preserve">Material Optimization:</w:t>
      </w:r>
      <w:r>
        <w:t xml:space="preserve"> </w:t>
      </w:r>
      <w:r>
        <w:t xml:space="preserve">Explore alternative, lower-carbon materials, increase recycled content, and optimize material efficiency in design.</w:t>
      </w:r>
    </w:p>
    <w:p>
      <w:pPr>
        <w:numPr>
          <w:ilvl w:val="0"/>
          <w:numId w:val="1010"/>
        </w:numPr>
        <w:pStyle w:val="Compact"/>
      </w:pPr>
      <w:r>
        <w:rPr>
          <w:bCs/>
          <w:b/>
        </w:rPr>
        <w:t xml:space="preserve">Energy Transition:</w:t>
      </w:r>
      <w:r>
        <w:t xml:space="preserve"> </w:t>
      </w:r>
      <w:r>
        <w:t xml:space="preserve">Accelerate the transition to 100% renewable energy sources for manufacturing operations in China.</w:t>
      </w:r>
    </w:p>
    <w:p>
      <w:pPr>
        <w:numPr>
          <w:ilvl w:val="0"/>
          <w:numId w:val="1010"/>
        </w:numPr>
        <w:pStyle w:val="Compact"/>
      </w:pPr>
      <w:r>
        <w:rPr>
          <w:bCs/>
          <w:b/>
        </w:rPr>
        <w:t xml:space="preserve">Product Energy Efficiency:</w:t>
      </w:r>
      <w:r>
        <w:t xml:space="preserve"> </w:t>
      </w:r>
      <w:r>
        <w:t xml:space="preserve">Redesign the product for lower energy consumption during its use phase and educate consumers on efficient usage.</w:t>
      </w:r>
    </w:p>
    <w:p>
      <w:pPr>
        <w:numPr>
          <w:ilvl w:val="0"/>
          <w:numId w:val="1010"/>
        </w:numPr>
        <w:pStyle w:val="Compact"/>
      </w:pPr>
      <w:r>
        <w:rPr>
          <w:bCs/>
          <w:b/>
        </w:rPr>
        <w:t xml:space="preserve">Enhanced Circularity:</w:t>
      </w:r>
      <w:r>
        <w:t xml:space="preserve"> </w:t>
      </w:r>
      <w:r>
        <w:t xml:space="preserve">Further develop and promote take-back and recycling programs, exploring options for reuse and refurbishment to minimize waste at end-of-life.</w:t>
      </w:r>
    </w:p>
    <w:p>
      <w:pPr>
        <w:numPr>
          <w:ilvl w:val="0"/>
          <w:numId w:val="1010"/>
        </w:numPr>
        <w:pStyle w:val="Compact"/>
      </w:pPr>
      <w:r>
        <w:rPr>
          <w:bCs/>
          <w:b/>
        </w:rPr>
        <w:t xml:space="preserve">Supply Chain Engagement:</w:t>
      </w:r>
      <w:r>
        <w:t xml:space="preserve"> </w:t>
      </w:r>
      <w:r>
        <w:t xml:space="preserve">Collaborate with suppliers to identify and reduce upstream emissions, particularly for high-impact raw materials and transport.</w:t>
      </w:r>
    </w:p>
    <w:p>
      <w:pPr>
        <w:pStyle w:val="FirstParagraph"/>
      </w:pPr>
      <w:r>
        <w:t xml:space="preserve">Continuous monitoring and refinement of data will be essential for tracking progress and achieving long-term sustainability goals.</w:t>
      </w:r>
    </w:p>
    <w:p>
      <w:pPr>
        <w:pStyle w:val="BodyText"/>
      </w:pPr>
      <w:r>
        <w:t xml:space="preserve">Confidential - Internal Use Only | Page 1 of 1 (For single HTML output)</w:t>
      </w:r>
    </w:p>
    <w:p>
      <w:pPr>
        <w:pStyle w:val="BodyText"/>
      </w:pPr>
      <w:r>
        <w:t xml:space="preserve">© 2026 tiugsmeqrh. All rights reserved.</w:t>
      </w:r>
    </w:p>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orttptrxxo</dc:title>
  <dc:creator/>
  <dc:description>Detailed Product Carbon Footprint (PCF) analysis report for orttptrxxo of tiugsmeqrh, conducted by Senior Sustainability Consultant hgfuqhhett specializing in GHG Protocol.</dc:description>
  <dc:language>en</dc:language>
  <cp:keywords/>
  <dcterms:created xsi:type="dcterms:W3CDTF">2026-05-30T10:35:07Z</dcterms:created>
  <dcterms:modified xsi:type="dcterms:W3CDTF">2026-05-30T10:35:07Z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