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orsxwshnwu</w:t>
      </w:r>
    </w:p>
    <w:p>
      <w:pPr>
        <w:pStyle w:val="FirstParagraph"/>
      </w:pPr>
      <w:r>
        <w:t xml:space="preserve">carboncalcpcf.com</w:t>
      </w:r>
    </w:p>
    <w:bookmarkStart w:id="20" w:name="product-carbon-footprint-analysis"/>
    <w:p>
      <w:pPr>
        <w:pStyle w:val="Heading1"/>
      </w:pPr>
      <w:r>
        <w:t xml:space="preserve">Product Carbon Footprint Analysis</w:t>
      </w:r>
    </w:p>
    <w:bookmarkEnd w:id="20"/>
    <w:bookmarkStart w:id="21" w:name="for-orsxwshnwu"/>
    <w:p>
      <w:pPr>
        <w:pStyle w:val="Heading1"/>
      </w:pPr>
      <w:r>
        <w:t xml:space="preserve">for orsxwshnwu</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remfumtkop</w:t>
      </w:r>
    </w:p>
    <w:p>
      <w:pPr>
        <w:pStyle w:val="BodyText"/>
      </w:pPr>
      <w:r>
        <w:rPr>
          <w:bCs/>
          <w:b/>
        </w:rPr>
        <w:t xml:space="preserve">Senior Sustainability Consultant:</w:t>
      </w:r>
      <w:r>
        <w:t xml:space="preserve"> </w:t>
      </w:r>
      <w:r>
        <w:t xml:space="preserve">pehvqxrher</w:t>
      </w:r>
    </w:p>
    <w:p>
      <w:pPr>
        <w:pStyle w:val="BodyText"/>
      </w:pPr>
      <w:r>
        <w:t xml:space="preserve">Disclaimer: This report is generated based on available data and industry standards. The calculations presented herein rely on specific parameters provided by the client and publicly available emission factors, which may vary depending on data sources and methodologies. While every effort has been made to ensure accuracy, this report should be considered an estimate for informational and strategic planning purposes.</w:t>
      </w:r>
    </w:p>
    <w:bookmarkEnd w:id="21"/>
    <w:bookmarkStart w:id="22" w:name="X0043cfb21c2e00b7ff679aff7c2884c080aeaab"/>
    <w:p>
      <w:pPr>
        <w:pStyle w:val="Heading1"/>
      </w:pPr>
      <w:r>
        <w:t xml:space="preserve">Product Carbon Footprint Analysis for orsxwshnwu</w:t>
      </w:r>
    </w:p>
    <w:p>
      <w:pPr>
        <w:pStyle w:val="FirstParagraph"/>
      </w:pPr>
      <w:r>
        <w:t xml:space="preserve">Generated Date: May 18, 2026</w:t>
      </w:r>
    </w:p>
    <w:p>
      <w:r>
        <w:pict>
          <v:rect style="width:0;height:1.5pt" o:hralign="center" o:hrstd="t" o:hr="t"/>
        </w:pict>
      </w:r>
    </w:p>
    <w:bookmarkEnd w:id="22"/>
    <w:bookmarkStart w:id="23" w:name="executive-summary"/>
    <w:p>
      <w:pPr>
        <w:pStyle w:val="Heading2"/>
      </w:pPr>
      <w:r>
        <w:t xml:space="preserve">1. Executive Summary</w:t>
      </w:r>
    </w:p>
    <w:p>
      <w:pPr>
        <w:pStyle w:val="FirstParagraph"/>
      </w:pPr>
      <w:r>
        <w:t xml:space="preserve">This report presents a high-detail Product Carbon Footprint (PCF) analysis for \'orsxwshnwu\', a product manufactured by remfumtkop. The analysis adheres strictly to the Greenhouse Gas (GHG) Protocol, including considerations for the upcoming 2026 Land Sector and Removals (LSR) Standard update and the requirement for at least 95% Scope 3 emissions coverage. As Senior Sustainability Consultant pehvqxrher, this assessment aims to identify key emission hotspots across the product\'s lifecycle, from raw material acquisition through end-of-life, providing remfumtkop with actionable insights for decarbonization.</w:t>
      </w:r>
    </w:p>
    <w:p>
      <w:pPr>
        <w:pStyle w:val="BodyText"/>
      </w:pPr>
      <w:r>
        <w:t xml:space="preserve">The PCF for \'orsxwshnwu\' has been calculated based on a functional unit of "1.0 unit" and a system boundary defined as \'factory_gate\' for core production, extending to cradle-to-grave for other lifecycle stages. The geographic scope focuses on final production in China with a supply chain emphasis on Europe. Key findings highlight the significant contribution of material acquisition, manufacturing energy, and transportation to the overall footprint. Opportunities for reduction lie in enhancing renewable energy use, optimizing logistics, and maximizing end-of-life circularity.</w:t>
      </w:r>
    </w:p>
    <w:bookmarkEnd w:id="23"/>
    <w:p>
      <w:r>
        <w:pict>
          <v:rect style="width:0;height:1.5pt" o:hralign="center" o:hrstd="t" o:hr="t"/>
        </w:pict>
      </w:r>
    </w:p>
    <w:bookmarkStart w:id="25" w:name="methodology"/>
    <w:p>
      <w:pPr>
        <w:pStyle w:val="Heading2"/>
      </w:pPr>
      <w:r>
        <w:t xml:space="preserve">2. Methodology</w:t>
      </w:r>
    </w:p>
    <w:p>
      <w:pPr>
        <w:pStyle w:val="FirstParagraph"/>
      </w:pPr>
      <w:r>
        <w:t xml:space="preserve">The Product Carbon Footprint (PCF) analysis for orsxwshnwu follows a systematic five-step methodology in accordance with the GHG Protocol Product Standard:</w:t>
      </w:r>
    </w:p>
    <w:p>
      <w:pPr>
        <w:numPr>
          <w:ilvl w:val="0"/>
          <w:numId w:val="1001"/>
        </w:numPr>
        <w:pStyle w:val="Compact"/>
      </w:pPr>
      <w:r>
        <w:rPr>
          <w:bCs/>
          <w:b/>
        </w:rPr>
        <w:t xml:space="preserve">Define Scope:</w:t>
      </w:r>
      <w:r>
        <w:t xml:space="preserve"> </w:t>
      </w:r>
      <w:r>
        <w:t xml:space="preserve">Establishment of the functional unit, system boundaries, geographic scope, and allocation rules.</w:t>
      </w:r>
    </w:p>
    <w:p>
      <w:pPr>
        <w:numPr>
          <w:ilvl w:val="0"/>
          <w:numId w:val="1001"/>
        </w:numPr>
        <w:pStyle w:val="Compact"/>
      </w:pPr>
      <w:r>
        <w:rPr>
          <w:bCs/>
          <w:b/>
        </w:rPr>
        <w:t xml:space="preserve">Map Lifecycle:</w:t>
      </w:r>
      <w:r>
        <w:t xml:space="preserve"> </w:t>
      </w:r>
      <w:r>
        <w:t xml:space="preserve">Identification and mapping of all relevant processes and stages within the product\'s lifecycle (Life Cycle Inventory - LCI).</w:t>
      </w:r>
    </w:p>
    <w:p>
      <w:pPr>
        <w:numPr>
          <w:ilvl w:val="0"/>
          <w:numId w:val="1001"/>
        </w:numPr>
        <w:pStyle w:val="Compact"/>
      </w:pPr>
      <w:r>
        <w:rPr>
          <w:bCs/>
          <w:b/>
        </w:rPr>
        <w:t xml:space="preserve">Collect Data:</w:t>
      </w:r>
      <w:r>
        <w:t xml:space="preserve"> </w:t>
      </w:r>
      <w:r>
        <w:t xml:space="preserve">Gathering of primary and secondary data points for all identified processes.</w:t>
      </w:r>
    </w:p>
    <w:p>
      <w:pPr>
        <w:numPr>
          <w:ilvl w:val="0"/>
          <w:numId w:val="1001"/>
        </w:numPr>
        <w:pStyle w:val="Compact"/>
      </w:pPr>
      <w:r>
        <w:rPr>
          <w:bCs/>
          <w:b/>
        </w:rPr>
        <w:t xml:space="preserve">Calculate Emissions:</w:t>
      </w:r>
      <w:r>
        <w:t xml:space="preserve"> </w:t>
      </w:r>
      <w:r>
        <w:t xml:space="preserve">Quantification of greenhouse gas emissions using activity data multiplied by appropriate emission factors (Activity Data × Emission Factor = CO2e).</w:t>
      </w:r>
    </w:p>
    <w:p>
      <w:pPr>
        <w:numPr>
          <w:ilvl w:val="0"/>
          <w:numId w:val="1001"/>
        </w:numPr>
        <w:pStyle w:val="Compact"/>
      </w:pPr>
      <w:r>
        <w:rPr>
          <w:bCs/>
          <w:b/>
        </w:rPr>
        <w:t xml:space="preserve">Review &amp; Report:</w:t>
      </w:r>
      <w:r>
        <w:t xml:space="preserve"> </w:t>
      </w:r>
      <w:r>
        <w:t xml:space="preserve">Analysis of results to identify hotspots, assess reliability, and communicate findings.</w:t>
      </w:r>
    </w:p>
    <w:p>
      <w:pPr>
        <w:pStyle w:val="FirstParagraph"/>
      </w:pPr>
      <w:r>
        <w:t xml:space="preserve">This assessment adheres to the GHG Protocol\'s categorization of emissions into Scope 1 (direct emissions from owned or controlled sources), Scope 2 (indirect emissions from the generation of purchased energy), and Scope 3 (all other indirect emissions that occur in a company’s value chain).</w:t>
      </w:r>
    </w:p>
    <w:bookmarkStart w:id="24" w:name="adherence-to-2026-ghg-protocol-updates"/>
    <w:p>
      <w:pPr>
        <w:pStyle w:val="Heading3"/>
      </w:pPr>
      <w:r>
        <w:t xml:space="preserve">2.1. Adherence to 2026 GHG Protocol Updates</w:t>
      </w:r>
    </w:p>
    <w:p>
      <w:pPr>
        <w:numPr>
          <w:ilvl w:val="0"/>
          <w:numId w:val="1002"/>
        </w:numPr>
        <w:pStyle w:val="Compact"/>
      </w:pPr>
      <w:r>
        <w:rPr>
          <w:bCs/>
          <w:b/>
        </w:rPr>
        <w:t xml:space="preserve">Land Sector and Removals (LSR) Standard:</w:t>
      </w:r>
      <w:r>
        <w:t xml:space="preserve"> </w:t>
      </w:r>
      <w:r>
        <w:t xml:space="preserve">The newly published GHG Protocol Land Sector and Removals Standard (effective January 1, 2027) is conceptually applied to this analysis, though specific land-use data for \'orsxwshnwu\' is not available to quantify detailed impacts in this report. The LSR Standard provides accounting requirements for emissions and removals from agricultural and land-use activities. The accompanying guidance for the LSR Standard is expected in Q2 2026, which will provide more practical direction for implementation.</w:t>
      </w:r>
    </w:p>
    <w:p>
      <w:pPr>
        <w:numPr>
          <w:ilvl w:val="0"/>
          <w:numId w:val="1002"/>
        </w:numPr>
        <w:pStyle w:val="Compact"/>
      </w:pPr>
      <w:r>
        <w:rPr>
          <w:bCs/>
          <w:b/>
        </w:rPr>
        <w:t xml:space="preserve">Scope 3 Compliance:</w:t>
      </w:r>
      <w:r>
        <w:t xml:space="preserve"> </w:t>
      </w:r>
      <w:r>
        <w:t xml:space="preserve">In line with proposed 2026 GHG Protocol revisions to the Scope 3 Standard, this report aims for at least 95% coverage of required Scope 3 emissions. This requires quantifying nearly all relevant upstream and downstream value chain emissions, with exclusions limited to 5% and requiring quantification, disclosure, and justification. This emphasizes comprehensive data collection across categories 1-15, moving away from selective reporting.</w:t>
      </w:r>
    </w:p>
    <w:bookmarkEnd w:id="24"/>
    <w:bookmarkEnd w:id="25"/>
    <w:p>
      <w:r>
        <w:pict>
          <v:rect style="width:0;height:1.5pt" o:hralign="center" o:hrstd="t" o:hr="t"/>
        </w:pict>
      </w:r>
    </w:p>
    <w:bookmarkStart w:id="26" w:name="step-1-define-scope"/>
    <w:p>
      <w:pPr>
        <w:pStyle w:val="Heading2"/>
      </w:pPr>
      <w:r>
        <w:t xml:space="preserve">3. Step 1: Define Scope</w:t>
      </w:r>
    </w:p>
    <w:p>
      <w:pPr>
        <w:numPr>
          <w:ilvl w:val="0"/>
          <w:numId w:val="1003"/>
        </w:numPr>
        <w:pStyle w:val="Compact"/>
      </w:pPr>
      <w:r>
        <w:rPr>
          <w:bCs/>
          <w:b/>
        </w:rPr>
        <w:t xml:space="preserve">Functional Unit:</w:t>
      </w:r>
      <w:r>
        <w:t xml:space="preserve"> </w:t>
      </w:r>
      <w:r>
        <w:t xml:space="preserve">1.0 unit of orsxwshnwu</w:t>
      </w:r>
    </w:p>
    <w:p>
      <w:pPr>
        <w:numPr>
          <w:ilvl w:val="0"/>
          <w:numId w:val="1003"/>
        </w:numPr>
        <w:pStyle w:val="Compact"/>
      </w:pPr>
      <w:r>
        <w:rPr>
          <w:bCs/>
          <w:b/>
        </w:rPr>
        <w:t xml:space="preserve">System Boundary:</w:t>
      </w:r>
      <w:r>
        <w:t xml:space="preserve"> </w:t>
      </w:r>
      <w:r>
        <w:t xml:space="preserve">factory_gate (for direct manufacturing emissions and associated Scope 2 energy). The overall analysis extends to a \'cradle-to-grave\' perspective for all relevant life cycle stages, covering materials, transport, use, and end-of-life to ensure comprehensive Scope 3 reporting.</w:t>
      </w:r>
    </w:p>
    <w:p>
      <w:pPr>
        <w:numPr>
          <w:ilvl w:val="0"/>
          <w:numId w:val="1003"/>
        </w:numPr>
        <w:pStyle w:val="Compact"/>
      </w:pPr>
      <w:r>
        <w:rPr>
          <w:bCs/>
          <w:b/>
        </w:rPr>
        <w:t xml:space="preserve">Geographic Scope:</w:t>
      </w:r>
      <w:r>
        <w:t xml:space="preserve"> </w:t>
      </w:r>
      <w:r>
        <w:t xml:space="preserve">Final Production Country: China. Supply Chain Focus: Europe Focused (for raw material sourcing and distribution).</w:t>
      </w:r>
    </w:p>
    <w:p>
      <w:pPr>
        <w:numPr>
          <w:ilvl w:val="0"/>
          <w:numId w:val="1003"/>
        </w:numPr>
        <w:pStyle w:val="Compact"/>
      </w:pPr>
      <w:r>
        <w:rPr>
          <w:bCs/>
          <w:b/>
        </w:rPr>
        <w:t xml:space="preserve">Accounting Standard:</w:t>
      </w:r>
      <w:r>
        <w:t xml:space="preserve"> </w:t>
      </w:r>
      <w:r>
        <w:t xml:space="preserve">GHG Protocol (Product Standard, Corporate Standard for organizational boundaries).</w:t>
      </w:r>
    </w:p>
    <w:p>
      <w:pPr>
        <w:numPr>
          <w:ilvl w:val="0"/>
          <w:numId w:val="1003"/>
        </w:numPr>
        <w:pStyle w:val="Compact"/>
      </w:pPr>
      <w:r>
        <w:rPr>
          <w:bCs/>
          <w:b/>
        </w:rPr>
        <w:t xml:space="preserve">Allocation:</w:t>
      </w:r>
      <w:r>
        <w:t xml:space="preserve"> </w:t>
      </w:r>
      <w:r>
        <w:t xml:space="preserve">Mass-based allocation is applied where co-products or by-products are identified, ensuring that environmental burdens are appropriately distributed.</w:t>
      </w:r>
    </w:p>
    <w:bookmarkEnd w:id="26"/>
    <w:p>
      <w:r>
        <w:pict>
          <v:rect style="width:0;height:1.5pt" o:hralign="center" o:hrstd="t" o:hr="t"/>
        </w:pict>
      </w:r>
    </w:p>
    <w:bookmarkStart w:id="27" w:name="Xef2cad8b6715bfd9664e6ec6d96ac44c4a46fb4"/>
    <w:p>
      <w:pPr>
        <w:pStyle w:val="Heading2"/>
      </w:pPr>
      <w:r>
        <w:t xml:space="preserve">4. Step 2: Map Lifecycle (LCI Inventory Stages)</w:t>
      </w:r>
    </w:p>
    <w:p>
      <w:pPr>
        <w:pStyle w:val="FirstParagraph"/>
      </w:pPr>
      <w:r>
        <w:t xml:space="preserve">The lifecycle of \'orsxwshnwu\' is mapped across the following stages, encompassing cradle-to-grave activities:</w:t>
      </w:r>
    </w:p>
    <w:p>
      <w:pPr>
        <w:numPr>
          <w:ilvl w:val="0"/>
          <w:numId w:val="1004"/>
        </w:numPr>
        <w:pStyle w:val="Compact"/>
      </w:pPr>
      <w:r>
        <w:rPr>
          <w:bCs/>
          <w:b/>
        </w:rPr>
        <w:t xml:space="preserve">Raw Material Acquisition &amp; Pre-processing (Upstream Scope 3, Category 1 - Purchased Goods and Services):</w:t>
      </w:r>
      <w:r>
        <w:t xml:space="preserve"> </w:t>
      </w:r>
      <w:r>
        <w:t xml:space="preserve">Extraction, processing, and initial manufacturing of all component materials (e.g., metals, plastics, electronics, packaging).</w:t>
      </w:r>
    </w:p>
    <w:p>
      <w:pPr>
        <w:numPr>
          <w:ilvl w:val="0"/>
          <w:numId w:val="1004"/>
        </w:numPr>
        <w:pStyle w:val="Compact"/>
      </w:pPr>
      <w:r>
        <w:rPr>
          <w:bCs/>
          <w:b/>
        </w:rPr>
        <w:t xml:space="preserve">Manufacturing (Scope 1 &amp; 2; Upstream Scope 3, Category 1, 2 - Capital Goods):</w:t>
      </w:r>
      <w:r>
        <w:t xml:space="preserve"> </w:t>
      </w:r>
      <w:r>
        <w:t xml:space="preserve">Energy consumption, waste generation, and direct emissions from the assembly and fabrication of \'orsxwshnwu\' at the remfumtkop facility in China.</w:t>
      </w:r>
    </w:p>
    <w:p>
      <w:pPr>
        <w:numPr>
          <w:ilvl w:val="0"/>
          <w:numId w:val="1004"/>
        </w:numPr>
        <w:pStyle w:val="Compact"/>
      </w:pPr>
      <w:r>
        <w:rPr>
          <w:bCs/>
          <w:b/>
        </w:rPr>
        <w:t xml:space="preserve">Transportation (Upstream &amp; Downstream Scope 3, Categories 4 &amp; 9):</w:t>
      </w:r>
    </w:p>
    <w:p>
      <w:pPr>
        <w:numPr>
          <w:ilvl w:val="1"/>
          <w:numId w:val="1005"/>
        </w:numPr>
        <w:pStyle w:val="Compact"/>
      </w:pPr>
      <w:r>
        <w:t xml:space="preserve">Inbound Logistics: Transport of raw materials and components from European suppliers to the manufacturing facility in China.</w:t>
      </w:r>
    </w:p>
    <w:p>
      <w:pPr>
        <w:numPr>
          <w:ilvl w:val="1"/>
          <w:numId w:val="1005"/>
        </w:numPr>
        <w:pStyle w:val="Compact"/>
      </w:pPr>
      <w:r>
        <w:t xml:space="preserve">Outbound Logistics: Transport of finished products from the China manufacturing facility to distribution centers.</w:t>
      </w:r>
    </w:p>
    <w:p>
      <w:pPr>
        <w:numPr>
          <w:ilvl w:val="1"/>
          <w:numId w:val="1005"/>
        </w:numPr>
        <w:pStyle w:val="Compact"/>
      </w:pPr>
      <w:r>
        <w:t xml:space="preserve">Last-Mile Delivery: Final delivery to the end-consumer.</w:t>
      </w:r>
    </w:p>
    <w:p>
      <w:pPr>
        <w:numPr>
          <w:ilvl w:val="0"/>
          <w:numId w:val="1004"/>
        </w:numPr>
        <w:pStyle w:val="Compact"/>
      </w:pPr>
      <w:r>
        <w:rPr>
          <w:bCs/>
          <w:b/>
        </w:rPr>
        <w:t xml:space="preserve">Use Phase (Downstream Scope 3, Category 11 - Use of Sold Products):</w:t>
      </w:r>
      <w:r>
        <w:t xml:space="preserve"> </w:t>
      </w:r>
      <w:r>
        <w:t xml:space="preserve">Energy consumption by \'orsxwshnwu\' during its operational lifespan, based on typical usage patterns.</w:t>
      </w:r>
    </w:p>
    <w:p>
      <w:pPr>
        <w:numPr>
          <w:ilvl w:val="0"/>
          <w:numId w:val="1004"/>
        </w:numPr>
        <w:pStyle w:val="Compact"/>
      </w:pPr>
      <w:r>
        <w:rPr>
          <w:bCs/>
          <w:b/>
        </w:rPr>
        <w:t xml:space="preserve">End-of-Life (Downstream Scope 3, Category 12 - End-of-Life Treatment of Sold Products):</w:t>
      </w:r>
      <w:r>
        <w:t xml:space="preserve"> </w:t>
      </w:r>
      <w:r>
        <w:t xml:space="preserve">Emissions and potential credits associated with disposal, recycling, and recovery processes at the end of the product\'s useful life.</w:t>
      </w:r>
    </w:p>
    <w:bookmarkEnd w:id="27"/>
    <w:p>
      <w:r>
        <w:pict>
          <v:rect style="width:0;height:1.5pt" o:hralign="center" o:hrstd="t" o:hr="t"/>
        </w:pict>
      </w:r>
    </w:p>
    <w:bookmarkStart w:id="33" w:name="step-3-collect-data"/>
    <w:p>
      <w:pPr>
        <w:pStyle w:val="Heading2"/>
      </w:pPr>
      <w:r>
        <w:t xml:space="preserve">5. Step 3: Collect Data</w:t>
      </w:r>
    </w:p>
    <w:p>
      <w:pPr>
        <w:pStyle w:val="FirstParagraph"/>
      </w:pPr>
      <w:r>
        <w:t xml:space="preserve">Data collection involves both primary data from remfumtkop and secondary data from reputable life cycle inventory (LCI) databases such as Ecoinvent and DEFRA. These databases provide comprehensive, peer-reviewed emission factors for a wide range of materials, energy sources, and transportation modes. The following illustrative data points are used for this analysis based on the provided parameters:</w:t>
      </w:r>
    </w:p>
    <w:bookmarkStart w:id="28" w:name="detailed-bill-of-materials-bom"/>
    <w:p>
      <w:pPr>
        <w:pStyle w:val="Heading3"/>
      </w:pPr>
      <w:r>
        <w:t xml:space="preserve">5.1. Detailed Bill of Materials (BOM)</w:t>
      </w:r>
    </w:p>
    <w:p>
      <w:pPr>
        <w:pStyle w:val="FirstParagraph"/>
      </w:pPr>
      <w:r>
        <w:t xml:space="preserve">The provided Detailed Bill of Materials (BOM) data, represented by \'xljqjphu\', serves as the primary input for material-related impacts. For the purpose of this report, illustrative data following the specified format (ID, Description, Category, Process, Qty, Unit, Emission Factor, Total Carbon) is presented below. In a live analysis, \'xljqjphu\' would contain precise, itemized data.</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Microcontroller Unit (MCU)</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1</w:t>
            </w:r>
          </w:p>
        </w:tc>
        <w:tc>
          <w:tcPr/>
          <w:p>
            <w:pPr>
              <w:pStyle w:val="Compact"/>
              <w:jc w:val="left"/>
            </w:pPr>
            <w:r>
              <w:t xml:space="preserve">unit</w:t>
            </w:r>
          </w:p>
        </w:tc>
        <w:tc>
          <w:tcPr/>
          <w:p>
            <w:pPr>
              <w:pStyle w:val="Compact"/>
              <w:jc w:val="left"/>
            </w:pPr>
            <w:r>
              <w:t xml:space="preserve">0.15</w:t>
            </w:r>
          </w:p>
        </w:tc>
        <w:tc>
          <w:tcPr/>
          <w:p>
            <w:pPr>
              <w:pStyle w:val="Compact"/>
              <w:jc w:val="left"/>
            </w:pPr>
            <w:r>
              <w:t xml:space="preserve">0.15</w:t>
            </w:r>
          </w:p>
        </w:tc>
      </w:tr>
      <w:tr>
        <w:tc>
          <w:tcPr/>
          <w:p>
            <w:pPr>
              <w:pStyle w:val="Compact"/>
              <w:jc w:val="left"/>
            </w:pPr>
            <w:r>
              <w:t xml:space="preserve">M002</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3.00</w:t>
            </w:r>
          </w:p>
        </w:tc>
        <w:tc>
          <w:tcPr/>
          <w:p>
            <w:pPr>
              <w:pStyle w:val="Compact"/>
              <w:jc w:val="left"/>
            </w:pPr>
            <w:r>
              <w:t xml:space="preserve">0.60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Fabrication</w:t>
            </w:r>
          </w:p>
        </w:tc>
        <w:tc>
          <w:tcPr/>
          <w:p>
            <w:pPr>
              <w:pStyle w:val="Compact"/>
              <w:jc w:val="left"/>
            </w:pPr>
            <w:r>
              <w:t xml:space="preserve">1</w:t>
            </w:r>
          </w:p>
        </w:tc>
        <w:tc>
          <w:tcPr/>
          <w:p>
            <w:pPr>
              <w:pStyle w:val="Compact"/>
              <w:jc w:val="left"/>
            </w:pPr>
            <w:r>
              <w:t xml:space="preserve">unit</w:t>
            </w:r>
          </w:p>
        </w:tc>
        <w:tc>
          <w:tcPr/>
          <w:p>
            <w:pPr>
              <w:pStyle w:val="Compact"/>
              <w:jc w:val="left"/>
            </w:pPr>
            <w:r>
              <w:t xml:space="preserve">0.25</w:t>
            </w:r>
          </w:p>
        </w:tc>
        <w:tc>
          <w:tcPr/>
          <w:p>
            <w:pPr>
              <w:pStyle w:val="Compact"/>
              <w:jc w:val="left"/>
            </w:pPr>
            <w:r>
              <w:t xml:space="preserve">0.25</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0.125</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Paper/Packaging</w:t>
            </w:r>
          </w:p>
        </w:tc>
        <w:tc>
          <w:tcPr/>
          <w:p>
            <w:pPr>
              <w:pStyle w:val="Compact"/>
              <w:jc w:val="left"/>
            </w:pPr>
            <w:r>
              <w:t xml:space="preserve">Paper Mfg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0.15</w:t>
            </w:r>
          </w:p>
        </w:tc>
      </w:tr>
      <w:tr>
        <w:tc>
          <w:tcPr>
            <w:gridSpan w:val="7"/>
          </w:tcPr>
          <w:p>
            <w:pPr>
              <w:pStyle w:val="Compact"/>
              <w:jc w:val="right"/>
            </w:pPr>
            <w:r>
              <w:rPr>
                <w:bCs/>
                <w:b/>
              </w:rPr>
              <w:t xml:space="preserve">Total Material Footprint (Illustrative)</w:t>
            </w:r>
          </w:p>
        </w:tc>
        <w:tc>
          <w:tcPr/>
          <w:p>
            <w:pPr>
              <w:pStyle w:val="Compact"/>
              <w:jc w:val="left"/>
            </w:pPr>
            <w:r>
              <w:rPr>
                <w:bCs/>
                <w:b/>
              </w:rPr>
              <w:t xml:space="preserve">1.275 kgCO2e</w:t>
            </w:r>
          </w:p>
        </w:tc>
      </w:tr>
    </w:tbl>
    <w:bookmarkEnd w:id="28"/>
    <w:bookmarkStart w:id="29" w:name="transport-data"/>
    <w:p>
      <w:pPr>
        <w:pStyle w:val="Heading3"/>
      </w:pPr>
      <w:r>
        <w:t xml:space="preserve">5.2. Transport Data</w:t>
      </w:r>
    </w:p>
    <w:p>
      <w:pPr>
        <w:pStyle w:val="FirstParagraph"/>
      </w:pPr>
      <w:r>
        <w:t xml:space="preserve">Logistics data, including transport modes, distances, and delivery channels, are critical for supply chain analysis. Illustrative values based on the provided parameters are:</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Stage</w:t>
            </w:r>
          </w:p>
        </w:tc>
        <w:tc>
          <w:tcPr/>
          <w:p>
            <w:pPr>
              <w:pStyle w:val="Compact"/>
              <w:jc w:val="left"/>
            </w:pPr>
            <w:r>
              <w:t xml:space="preserve">Transport Mode (Select Mode)</w:t>
            </w:r>
          </w:p>
        </w:tc>
        <w:tc>
          <w:tcPr/>
          <w:p>
            <w:pPr>
              <w:pStyle w:val="Compact"/>
              <w:jc w:val="left"/>
            </w:pPr>
            <w:r>
              <w:t xml:space="preserve">Distance (vlliypxxmi)</w:t>
            </w:r>
          </w:p>
        </w:tc>
        <w:tc>
          <w:tcPr/>
          <w:p>
            <w:pPr>
              <w:pStyle w:val="Compact"/>
              <w:jc w:val="left"/>
            </w:pPr>
            <w:r>
              <w:t xml:space="preserve">Unit</w:t>
            </w:r>
          </w:p>
        </w:tc>
        <w:tc>
          <w:tcPr/>
          <w:p>
            <w:pPr>
              <w:pStyle w:val="Compact"/>
              <w:jc w:val="left"/>
            </w:pPr>
            <w:r>
              <w:t xml:space="preserve">Payload (per unit or full vehicle avg)</w:t>
            </w:r>
          </w:p>
        </w:tc>
        <w:tc>
          <w:tcPr/>
          <w:p>
            <w:pPr>
              <w:pStyle w:val="Compact"/>
              <w:jc w:val="left"/>
            </w:pPr>
            <w:r>
              <w:t xml:space="preserve">Emission Factor (kgCO2e/tonne-km)</w:t>
            </w:r>
          </w:p>
        </w:tc>
      </w:tr>
      <w:tr>
        <w:tc>
          <w:tcPr/>
          <w:p>
            <w:pPr>
              <w:pStyle w:val="Compact"/>
              <w:jc w:val="left"/>
            </w:pPr>
            <w:r>
              <w:t xml:space="preserve">Inbound Materials (Europe to China)</w:t>
            </w:r>
          </w:p>
        </w:tc>
        <w:tc>
          <w:tcPr/>
          <w:p>
            <w:pPr>
              <w:pStyle w:val="Compact"/>
              <w:jc w:val="left"/>
            </w:pPr>
            <w:r>
              <w:t xml:space="preserve">Ocean Freight</w:t>
            </w:r>
          </w:p>
        </w:tc>
        <w:tc>
          <w:tcPr/>
          <w:p>
            <w:pPr>
              <w:pStyle w:val="Compact"/>
              <w:jc w:val="left"/>
            </w:pPr>
            <w:r>
              <w:t xml:space="preserve">10,000</w:t>
            </w:r>
          </w:p>
        </w:tc>
        <w:tc>
          <w:tcPr/>
          <w:p>
            <w:pPr>
              <w:pStyle w:val="Compact"/>
              <w:jc w:val="left"/>
            </w:pPr>
            <w:r>
              <w:t xml:space="preserve">km</w:t>
            </w:r>
          </w:p>
        </w:tc>
        <w:tc>
          <w:tcPr/>
          <w:p>
            <w:pPr>
              <w:pStyle w:val="Compact"/>
              <w:jc w:val="left"/>
            </w:pPr>
            <w:r>
              <w:t xml:space="preserve">0.0005 tonne (approx. for 1 unit\'s materials)</w:t>
            </w:r>
          </w:p>
        </w:tc>
        <w:tc>
          <w:tcPr/>
          <w:p>
            <w:pPr>
              <w:pStyle w:val="Compact"/>
              <w:jc w:val="left"/>
            </w:pPr>
            <w:r>
              <w:t xml:space="preserve">0.010</w:t>
            </w:r>
          </w:p>
        </w:tc>
      </w:tr>
      <w:tr>
        <w:tc>
          <w:tcPr/>
          <w:p>
            <w:pPr>
              <w:pStyle w:val="Compact"/>
              <w:jc w:val="left"/>
            </w:pPr>
            <w:r>
              <w:t xml:space="preserve">Inter-factory (within China)</w:t>
            </w:r>
          </w:p>
        </w:tc>
        <w:tc>
          <w:tcPr/>
          <w:p>
            <w:pPr>
              <w:pStyle w:val="Compact"/>
              <w:jc w:val="left"/>
            </w:pPr>
            <w:r>
              <w:t xml:space="preserve">Road Freight (HGV &gt; 17t)</w:t>
            </w:r>
          </w:p>
        </w:tc>
        <w:tc>
          <w:tcPr/>
          <w:p>
            <w:pPr>
              <w:pStyle w:val="Compact"/>
              <w:jc w:val="left"/>
            </w:pPr>
            <w:r>
              <w:t xml:space="preserve">500</w:t>
            </w:r>
          </w:p>
        </w:tc>
        <w:tc>
          <w:tcPr/>
          <w:p>
            <w:pPr>
              <w:pStyle w:val="Compact"/>
              <w:jc w:val="left"/>
            </w:pPr>
            <w:r>
              <w:t xml:space="preserve">km</w:t>
            </w:r>
          </w:p>
        </w:tc>
        <w:tc>
          <w:tcPr/>
          <w:p>
            <w:pPr>
              <w:pStyle w:val="Compact"/>
              <w:jc w:val="left"/>
            </w:pPr>
            <w:r>
              <w:t xml:space="preserve">0.0002 tonne (approx. for 1 unit)</w:t>
            </w:r>
          </w:p>
        </w:tc>
        <w:tc>
          <w:tcPr/>
          <w:p>
            <w:pPr>
              <w:pStyle w:val="Compact"/>
              <w:jc w:val="left"/>
            </w:pPr>
            <w:r>
              <w:t xml:space="preserve">0.080</w:t>
            </w:r>
          </w:p>
        </w:tc>
      </w:tr>
      <w:tr>
        <w:tc>
          <w:tcPr/>
          <w:p>
            <w:pPr>
              <w:pStyle w:val="Compact"/>
              <w:jc w:val="left"/>
            </w:pPr>
            <w:r>
              <w:t xml:space="preserve">Outbound Finished Goods (China to Europe DC)</w:t>
            </w:r>
          </w:p>
        </w:tc>
        <w:tc>
          <w:tcPr/>
          <w:p>
            <w:pPr>
              <w:pStyle w:val="Compact"/>
              <w:jc w:val="left"/>
            </w:pPr>
            <w:r>
              <w:t xml:space="preserve">Ocean Freight</w:t>
            </w:r>
          </w:p>
        </w:tc>
        <w:tc>
          <w:tcPr/>
          <w:p>
            <w:pPr>
              <w:pStyle w:val="Compact"/>
              <w:jc w:val="left"/>
            </w:pPr>
            <w:r>
              <w:t xml:space="preserve">8,000</w:t>
            </w:r>
          </w:p>
        </w:tc>
        <w:tc>
          <w:tcPr/>
          <w:p>
            <w:pPr>
              <w:pStyle w:val="Compact"/>
              <w:jc w:val="left"/>
            </w:pPr>
            <w:r>
              <w:t xml:space="preserve">km</w:t>
            </w:r>
          </w:p>
        </w:tc>
        <w:tc>
          <w:tcPr/>
          <w:p>
            <w:pPr>
              <w:pStyle w:val="Compact"/>
              <w:jc w:val="left"/>
            </w:pPr>
            <w:r>
              <w:t xml:space="preserve">0.0003 tonne (for 1 product unit)</w:t>
            </w:r>
          </w:p>
        </w:tc>
        <w:tc>
          <w:tcPr/>
          <w:p>
            <w:pPr>
              <w:pStyle w:val="Compact"/>
              <w:jc w:val="left"/>
            </w:pPr>
            <w:r>
              <w:t xml:space="preserve">0.010</w:t>
            </w:r>
          </w:p>
        </w:tc>
      </w:tr>
      <w:tr>
        <w:tc>
          <w:tcPr/>
          <w:p>
            <w:pPr>
              <w:pStyle w:val="Compact"/>
              <w:jc w:val="left"/>
            </w:pPr>
            <w:r>
              <w:t xml:space="preserve">Last-Mile Delivery (Delivery Type)</w:t>
            </w:r>
          </w:p>
        </w:tc>
        <w:tc>
          <w:tcPr/>
          <w:p>
            <w:pPr>
              <w:pStyle w:val="Compact"/>
              <w:jc w:val="left"/>
            </w:pPr>
            <w:r>
              <w:t xml:space="preserve">Light Commercial Vehicle (LCV)</w:t>
            </w:r>
          </w:p>
        </w:tc>
        <w:tc>
          <w:tcPr/>
          <w:p>
            <w:pPr>
              <w:pStyle w:val="Compact"/>
              <w:jc w:val="left"/>
            </w:pPr>
            <w:r>
              <w:t xml:space="preserve">50</w:t>
            </w:r>
          </w:p>
        </w:tc>
        <w:tc>
          <w:tcPr/>
          <w:p>
            <w:pPr>
              <w:pStyle w:val="Compact"/>
              <w:jc w:val="left"/>
            </w:pPr>
            <w:r>
              <w:t xml:space="preserve">km</w:t>
            </w:r>
          </w:p>
        </w:tc>
        <w:tc>
          <w:tcPr/>
          <w:p>
            <w:pPr>
              <w:pStyle w:val="Compact"/>
              <w:jc w:val="left"/>
            </w:pPr>
            <w:r>
              <w:t xml:space="preserve">0.0003 tonne (for 1 product unit)</w:t>
            </w:r>
          </w:p>
        </w:tc>
        <w:tc>
          <w:tcPr/>
          <w:p>
            <w:pPr>
              <w:pStyle w:val="Compact"/>
              <w:jc w:val="left"/>
            </w:pPr>
            <w:r>
              <w:t xml:space="preserve">0.200</w:t>
            </w:r>
          </w:p>
        </w:tc>
      </w:tr>
    </w:tbl>
    <w:bookmarkEnd w:id="29"/>
    <w:bookmarkStart w:id="30" w:name="production-energy-data"/>
    <w:p>
      <w:pPr>
        <w:pStyle w:val="Heading3"/>
      </w:pPr>
      <w:r>
        <w:t xml:space="preserve">5.3. Production Energy Data</w:t>
      </w:r>
    </w:p>
    <w:p>
      <w:pPr>
        <w:pStyle w:val="FirstParagraph"/>
      </w:pPr>
      <w:r>
        <w:t xml:space="preserve">Energy consumption during the manufacturing phase is a direct Scope 2 emission source (or Scope 1 if direct fuel combustion occurs on-site).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Renewable Energy Usage (khprflmnnk)</w:t>
            </w:r>
          </w:p>
        </w:tc>
        <w:tc>
          <w:tcPr/>
          <w:p>
            <w:pPr>
              <w:pStyle w:val="Compact"/>
              <w:jc w:val="left"/>
            </w:pPr>
            <w:r>
              <w:t xml:space="preserve">40</w:t>
            </w:r>
          </w:p>
        </w:tc>
        <w:tc>
          <w:tcPr/>
          <w:p>
            <w:pPr>
              <w:pStyle w:val="Compact"/>
              <w:jc w:val="left"/>
            </w:pPr>
            <w:r>
              <w:t xml:space="preserve">%</w:t>
            </w:r>
          </w:p>
        </w:tc>
        <w:tc>
          <w:tcPr/>
          <w:p>
            <w:pPr>
              <w:pStyle w:val="Compact"/>
              <w:jc w:val="left"/>
            </w:pPr>
            <w:r>
              <w:t xml:space="preserve">Percentage of electricity purchased from renewable sources.</w:t>
            </w:r>
          </w:p>
        </w:tc>
      </w:tr>
      <w:tr>
        <w:tc>
          <w:tcPr/>
          <w:p>
            <w:pPr>
              <w:pStyle w:val="Compact"/>
              <w:jc w:val="left"/>
            </w:pPr>
            <w:r>
              <w:t xml:space="preserve">Energy Intensity (spnxktxvnk)</w:t>
            </w:r>
          </w:p>
        </w:tc>
        <w:tc>
          <w:tcPr/>
          <w:p>
            <w:pPr>
              <w:pStyle w:val="Compact"/>
              <w:jc w:val="left"/>
            </w:pPr>
            <w:r>
              <w:t xml:space="preserve">0.7</w:t>
            </w:r>
          </w:p>
        </w:tc>
        <w:tc>
          <w:tcPr/>
          <w:p>
            <w:pPr>
              <w:pStyle w:val="Compact"/>
              <w:jc w:val="left"/>
            </w:pPr>
            <w:r>
              <w:t xml:space="preserve">kWh/unit</w:t>
            </w:r>
          </w:p>
        </w:tc>
        <w:tc>
          <w:tcPr/>
          <w:p>
            <w:pPr>
              <w:pStyle w:val="Compact"/>
              <w:jc w:val="left"/>
            </w:pPr>
            <w:r>
              <w:t xml:space="preserve">Electricity consumed per unit of orsxwshnwu produced.</w:t>
            </w:r>
          </w:p>
        </w:tc>
      </w:tr>
      <w:tr>
        <w:tc>
          <w:tcPr/>
          <w:p>
            <w:pPr>
              <w:pStyle w:val="Compact"/>
              <w:jc w:val="left"/>
            </w:pPr>
            <w:r>
              <w:t xml:space="preserve">Grid Electricity Emission Factor (China)</w:t>
            </w:r>
          </w:p>
        </w:tc>
        <w:tc>
          <w:tcPr/>
          <w:p>
            <w:pPr>
              <w:pStyle w:val="Compact"/>
              <w:jc w:val="left"/>
            </w:pPr>
            <w:r>
              <w:t xml:space="preserve">0.60</w:t>
            </w:r>
          </w:p>
        </w:tc>
        <w:tc>
          <w:tcPr/>
          <w:p>
            <w:pPr>
              <w:pStyle w:val="Compact"/>
              <w:jc w:val="left"/>
            </w:pPr>
            <w:r>
              <w:t xml:space="preserve">kgCO2e/kWh</w:t>
            </w:r>
          </w:p>
        </w:tc>
        <w:tc>
          <w:tcPr/>
          <w:p>
            <w:pPr>
              <w:pStyle w:val="Compact"/>
              <w:jc w:val="left"/>
            </w:pPr>
            <w:r>
              <w:t xml:space="preserve">Illustrative 2026 average life cycle carbon footprint factor for China\'s grid electricity, reflecting a blend of sources.</w:t>
            </w:r>
          </w:p>
        </w:tc>
      </w:tr>
    </w:tbl>
    <w:bookmarkEnd w:id="30"/>
    <w:bookmarkStart w:id="31" w:name="use-phase-data"/>
    <w:p>
      <w:pPr>
        <w:pStyle w:val="Heading3"/>
      </w:pPr>
      <w:r>
        <w:t xml:space="preserve">5.4. Use Phase Data</w:t>
      </w:r>
    </w:p>
    <w:p>
      <w:pPr>
        <w:pStyle w:val="FirstParagraph"/>
      </w:pPr>
      <w:r>
        <w:t xml:space="preserve">The use phase accounts for emissions during the product\'s operational life.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Product Lifespan (tvyqlvfioo)</w:t>
            </w:r>
          </w:p>
        </w:tc>
        <w:tc>
          <w:tcPr/>
          <w:p>
            <w:pPr>
              <w:pStyle w:val="Compact"/>
              <w:jc w:val="left"/>
            </w:pPr>
            <w:r>
              <w:t xml:space="preserve">7</w:t>
            </w:r>
          </w:p>
        </w:tc>
        <w:tc>
          <w:tcPr/>
          <w:p>
            <w:pPr>
              <w:pStyle w:val="Compact"/>
              <w:jc w:val="left"/>
            </w:pPr>
            <w:r>
              <w:t xml:space="preserve">years</w:t>
            </w:r>
          </w:p>
        </w:tc>
        <w:tc>
          <w:tcPr/>
          <w:p>
            <w:pPr>
              <w:pStyle w:val="Compact"/>
              <w:jc w:val="left"/>
            </w:pPr>
            <w:r>
              <w:t xml:space="preserve">Estimated average functional life of orsxwshnwu.</w:t>
            </w:r>
          </w:p>
        </w:tc>
      </w:tr>
      <w:tr>
        <w:tc>
          <w:tcPr/>
          <w:p>
            <w:pPr>
              <w:pStyle w:val="Compact"/>
              <w:jc w:val="left"/>
            </w:pPr>
            <w:r>
              <w:t xml:space="preserve">Energy Consumption in Use (zfyyqlksip)</w:t>
            </w:r>
          </w:p>
        </w:tc>
        <w:tc>
          <w:tcPr/>
          <w:p>
            <w:pPr>
              <w:pStyle w:val="Compact"/>
              <w:jc w:val="left"/>
            </w:pPr>
            <w:r>
              <w:t xml:space="preserve">5</w:t>
            </w:r>
          </w:p>
        </w:tc>
        <w:tc>
          <w:tcPr/>
          <w:p>
            <w:pPr>
              <w:pStyle w:val="Compact"/>
              <w:jc w:val="left"/>
            </w:pPr>
            <w:r>
              <w:t xml:space="preserve">kWh/year</w:t>
            </w:r>
          </w:p>
        </w:tc>
        <w:tc>
          <w:tcPr/>
          <w:p>
            <w:pPr>
              <w:pStyle w:val="Compact"/>
              <w:jc w:val="left"/>
            </w:pPr>
            <w:r>
              <w:t xml:space="preserve">Average annual electricity consumption by the product.</w:t>
            </w:r>
          </w:p>
        </w:tc>
      </w:tr>
    </w:tbl>
    <w:bookmarkEnd w:id="31"/>
    <w:bookmarkStart w:id="32" w:name="end-of-life-eol-data"/>
    <w:p>
      <w:pPr>
        <w:pStyle w:val="Heading3"/>
      </w:pPr>
      <w:r>
        <w:t xml:space="preserve">5.5. End-of-Life (EoL) Data</w:t>
      </w:r>
    </w:p>
    <w:p>
      <w:pPr>
        <w:pStyle w:val="FirstParagraph"/>
      </w:pPr>
      <w:r>
        <w:t xml:space="preserve">EoL scenarios are crucial for a complete cradle-to-grave assessment and for reflecting circular economy impacts.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Recyclability Percentage (zqqloxhsqx)</w:t>
            </w:r>
          </w:p>
        </w:tc>
        <w:tc>
          <w:tcPr/>
          <w:p>
            <w:pPr>
              <w:pStyle w:val="Compact"/>
              <w:jc w:val="left"/>
            </w:pPr>
            <w:r>
              <w:t xml:space="preserve">80</w:t>
            </w:r>
          </w:p>
        </w:tc>
        <w:tc>
          <w:tcPr/>
          <w:p>
            <w:pPr>
              <w:pStyle w:val="Compact"/>
              <w:jc w:val="left"/>
            </w:pPr>
            <w:r>
              <w:t xml:space="preserve">%</w:t>
            </w:r>
          </w:p>
        </w:tc>
        <w:tc>
          <w:tcPr/>
          <w:p>
            <w:pPr>
              <w:pStyle w:val="Compact"/>
              <w:jc w:val="left"/>
            </w:pPr>
            <w:r>
              <w:t xml:space="preserve">Percentage of product material (by weight) that is technically recyclable. Increased recycled content can significantly reduce embodied carbon.</w:t>
            </w:r>
          </w:p>
        </w:tc>
      </w:tr>
      <w:tr>
        <w:tc>
          <w:tcPr/>
          <w:p>
            <w:pPr>
              <w:pStyle w:val="Compact"/>
              <w:jc w:val="left"/>
            </w:pPr>
            <w:r>
              <w:t xml:space="preserve">Circular/Take-back Programs (mlkorylnpk)</w:t>
            </w:r>
          </w:p>
        </w:tc>
        <w:tc>
          <w:tcPr/>
          <w:p>
            <w:pPr>
              <w:pStyle w:val="Compact"/>
              <w:jc w:val="left"/>
            </w:pPr>
            <w:r>
              <w:t xml:space="preserve">Active program</w:t>
            </w:r>
          </w:p>
        </w:tc>
        <w:tc>
          <w:tcPr/>
          <w:p>
            <w:pPr>
              <w:pStyle w:val="Compact"/>
              <w:jc w:val="left"/>
            </w:pPr>
            <w:r>
              <w:t xml:space="preserve">N/A</w:t>
            </w:r>
          </w:p>
        </w:tc>
        <w:tc>
          <w:tcPr/>
          <w:p>
            <w:pPr>
              <w:pStyle w:val="Compact"/>
              <w:jc w:val="left"/>
            </w:pPr>
            <w:r>
              <w:t xml:space="preserve">remfumtkop operates a formal take-back and recycling program for \'orsxwshnwu\'.</w:t>
            </w:r>
          </w:p>
        </w:tc>
      </w:tr>
    </w:tbl>
    <w:bookmarkEnd w:id="32"/>
    <w:bookmarkEnd w:id="33"/>
    <w:p>
      <w:r>
        <w:pict>
          <v:rect style="width:0;height:1.5pt" o:hralign="center" o:hrstd="t" o:hr="t"/>
        </w:pict>
      </w:r>
    </w:p>
    <w:bookmarkStart w:id="44" w:name="step-4-calculate-emissions"/>
    <w:p>
      <w:pPr>
        <w:pStyle w:val="Heading2"/>
      </w:pPr>
      <w:r>
        <w:t xml:space="preserve">6. Step 4: Calculate Emissions</w:t>
      </w:r>
    </w:p>
    <w:p>
      <w:pPr>
        <w:pStyle w:val="FirstParagraph"/>
      </w:pPr>
      <w:r>
        <w:t xml:space="preserve">Emissions are calculated for each lifecycle stage, categorized according to the GHG Protocol Scopes. Illustrative calculations are provided based on the data collected in Step 3.</w:t>
      </w:r>
    </w:p>
    <w:bookmarkStart w:id="36" w:name="scope-3-upstream-emissions"/>
    <w:p>
      <w:pPr>
        <w:pStyle w:val="Heading3"/>
      </w:pPr>
      <w:r>
        <w:t xml:space="preserve">6.1. Scope 3: Upstream Emissions</w:t>
      </w:r>
    </w:p>
    <w:bookmarkStart w:id="34" w:name="Xab9729a0caae076ca89f2f71668734f92723cf2"/>
    <w:p>
      <w:pPr>
        <w:pStyle w:val="Heading4"/>
      </w:pPr>
      <w:r>
        <w:t xml:space="preserve">6.1.1. Category 1: Purchased Goods and Services (Materials)</w:t>
      </w:r>
    </w:p>
    <w:p>
      <w:pPr>
        <w:pStyle w:val="FirstParagraph"/>
      </w:pPr>
      <w:r>
        <w:t xml:space="preserve">Calculated by multiplying the quantity of each material by its respective emission factor.</w:t>
      </w:r>
    </w:p>
    <w:p>
      <w:pPr>
        <w:numPr>
          <w:ilvl w:val="0"/>
          <w:numId w:val="1006"/>
        </w:numPr>
        <w:pStyle w:val="Compact"/>
      </w:pPr>
      <w:r>
        <w:t xml:space="preserve">MCU: 1 unit * 0.15 kgCO2e/unit = 0.15 kgCO2e</w:t>
      </w:r>
    </w:p>
    <w:p>
      <w:pPr>
        <w:numPr>
          <w:ilvl w:val="0"/>
          <w:numId w:val="1006"/>
        </w:numPr>
        <w:pStyle w:val="Compact"/>
      </w:pPr>
      <w:r>
        <w:t xml:space="preserve">ABS Plastic Casing: 0.2 kg * 3.00 kgCO2e/kg = 0.60 kgCO2e</w:t>
      </w:r>
    </w:p>
    <w:p>
      <w:pPr>
        <w:numPr>
          <w:ilvl w:val="0"/>
          <w:numId w:val="1006"/>
        </w:numPr>
        <w:pStyle w:val="Compact"/>
      </w:pPr>
      <w:r>
        <w:t xml:space="preserve">PCB: 1 unit * 0.25 kgCO2e/unit = 0.25 kgCO2e</w:t>
      </w:r>
    </w:p>
    <w:p>
      <w:pPr>
        <w:numPr>
          <w:ilvl w:val="0"/>
          <w:numId w:val="1006"/>
        </w:numPr>
        <w:pStyle w:val="Compact"/>
      </w:pPr>
      <w:r>
        <w:t xml:space="preserve">Copper Wire: 0.05 kg * 2.50 kgCO2e/kg = 0.125 kgCO2e</w:t>
      </w:r>
    </w:p>
    <w:p>
      <w:pPr>
        <w:numPr>
          <w:ilvl w:val="0"/>
          <w:numId w:val="1006"/>
        </w:numPr>
        <w:pStyle w:val="Compact"/>
      </w:pPr>
      <w:r>
        <w:t xml:space="preserve">Packaging (Cardboard): 0.1 kg * 1.50 kgCO2e/kg = 0.15 kgCO2e</w:t>
      </w:r>
    </w:p>
    <w:p>
      <w:pPr>
        <w:pStyle w:val="FirstParagraph"/>
      </w:pPr>
      <w:r>
        <w:rPr>
          <w:bCs/>
          <w:b/>
        </w:rPr>
        <w:t xml:space="preserve">Total Material Emissions: 1.275 kgCO2e</w:t>
      </w:r>
    </w:p>
    <w:bookmarkEnd w:id="34"/>
    <w:bookmarkStart w:id="35" w:name="X6669a43143349c25ec93e775eebde43de53a73c"/>
    <w:p>
      <w:pPr>
        <w:pStyle w:val="Heading4"/>
      </w:pPr>
      <w:r>
        <w:t xml:space="preserve">6.1.2. Category 4: Upstream Transportation and Distribution</w:t>
      </w:r>
    </w:p>
    <w:p>
      <w:pPr>
        <w:pStyle w:val="FirstParagraph"/>
      </w:pPr>
      <w:r>
        <w:t xml:space="preserve">Calculated by multiplying distance, payload (for the specific product unit), and mode-specific emission factors.</w:t>
      </w:r>
    </w:p>
    <w:p>
      <w:pPr>
        <w:numPr>
          <w:ilvl w:val="0"/>
          <w:numId w:val="1007"/>
        </w:numPr>
        <w:pStyle w:val="Compact"/>
      </w:pPr>
      <w:r>
        <w:t xml:space="preserve">Inbound Materials (Ocean Freight): 10,000 km * 0.0005 tonne * 0.010 kgCO2e/tonne-km = 0.05 kgCO2e</w:t>
      </w:r>
    </w:p>
    <w:p>
      <w:pPr>
        <w:numPr>
          <w:ilvl w:val="0"/>
          <w:numId w:val="1007"/>
        </w:numPr>
        <w:pStyle w:val="Compact"/>
      </w:pPr>
      <w:r>
        <w:t xml:space="preserve">Inter-factory (Road Freight): 500 km * 0.0002 tonne * 0.080 kgCO2e/tonne-km = 0.008 kgCO2e</w:t>
      </w:r>
    </w:p>
    <w:p>
      <w:pPr>
        <w:pStyle w:val="FirstParagraph"/>
      </w:pPr>
      <w:r>
        <w:rPr>
          <w:bCs/>
          <w:b/>
        </w:rPr>
        <w:t xml:space="preserve">Total Upstream Transport Emissions: 0.058 kgCO2e</w:t>
      </w:r>
    </w:p>
    <w:bookmarkEnd w:id="35"/>
    <w:bookmarkEnd w:id="36"/>
    <w:bookmarkStart w:id="38" w:name="Xa7240e753b339f246b0c53aa90e0c714832070c"/>
    <w:p>
      <w:pPr>
        <w:pStyle w:val="Heading3"/>
      </w:pPr>
      <w:r>
        <w:t xml:space="preserve">6.2. Scope 1 &amp; 2: Operations Emissions (Manufacturing - factory_gate)</w:t>
      </w:r>
    </w:p>
    <w:bookmarkStart w:id="37" w:name="X548c27b94a1364728c4835618dabe8ff6fa9ea1"/>
    <w:p>
      <w:pPr>
        <w:pStyle w:val="Heading4"/>
      </w:pPr>
      <w:r>
        <w:t xml:space="preserve">6.2.1. Scope 2: Purchased Electricity for Manufacturing</w:t>
      </w:r>
    </w:p>
    <w:p>
      <w:pPr>
        <w:pStyle w:val="FirstParagraph"/>
      </w:pPr>
      <w:r>
        <w:t xml:space="preserve">Emissions from electricity consumption, adjusted for renewable energy usage.</w:t>
      </w:r>
    </w:p>
    <w:p>
      <w:pPr>
        <w:numPr>
          <w:ilvl w:val="0"/>
          <w:numId w:val="1008"/>
        </w:numPr>
        <w:pStyle w:val="Compact"/>
      </w:pPr>
      <w:r>
        <w:t xml:space="preserve">Total Electricity Consumption: 0.7 kWh/unit</w:t>
      </w:r>
    </w:p>
    <w:p>
      <w:pPr>
        <w:numPr>
          <w:ilvl w:val="0"/>
          <w:numId w:val="1008"/>
        </w:numPr>
        <w:pStyle w:val="Compact"/>
      </w:pPr>
      <w:r>
        <w:t xml:space="preserve">Non-renewable portion: 100% - 40% (Renewable Usage) = 60%</w:t>
      </w:r>
    </w:p>
    <w:p>
      <w:pPr>
        <w:numPr>
          <w:ilvl w:val="0"/>
          <w:numId w:val="1008"/>
        </w:numPr>
        <w:pStyle w:val="Compact"/>
      </w:pPr>
      <w:r>
        <w:t xml:space="preserve">Effective Grid Emission Factor: 0.60 kgCO2e/kWh * 60% = 0.36 kgCO2e/kWh (This assumes the remaining 60% comes from the grid mix.)</w:t>
      </w:r>
    </w:p>
    <w:p>
      <w:pPr>
        <w:numPr>
          <w:ilvl w:val="0"/>
          <w:numId w:val="1008"/>
        </w:numPr>
        <w:pStyle w:val="Compact"/>
      </w:pPr>
      <w:r>
        <w:t xml:space="preserve">Manufacturing Emissions: 0.7 kWh/unit * 0.36 kgCO2e/kWh = 0.252 kgCO2e</w:t>
      </w:r>
    </w:p>
    <w:p>
      <w:pPr>
        <w:pStyle w:val="FirstParagraph"/>
      </w:pPr>
      <w:r>
        <w:rPr>
          <w:bCs/>
          <w:b/>
        </w:rPr>
        <w:t xml:space="preserve">Total Manufacturing Energy Emissions (Scope 2): 0.252 kgCO2e</w:t>
      </w:r>
    </w:p>
    <w:p>
      <w:pPr>
        <w:pStyle w:val="BodyText"/>
      </w:pPr>
      <w:r>
        <w:rPr>
          <w:iCs/>
          <w:i/>
        </w:rPr>
        <w:t xml:space="preserve">Note: No direct Scope 1 emissions (e.g., on-site fuel combustion) are assumed at the factory_gate based on the parameters provided.</w:t>
      </w:r>
    </w:p>
    <w:bookmarkEnd w:id="37"/>
    <w:bookmarkEnd w:id="38"/>
    <w:bookmarkStart w:id="42" w:name="scope-3-downstream-emissions"/>
    <w:p>
      <w:pPr>
        <w:pStyle w:val="Heading3"/>
      </w:pPr>
      <w:r>
        <w:t xml:space="preserve">6.3. Scope 3: Downstream Emissions</w:t>
      </w:r>
    </w:p>
    <w:bookmarkStart w:id="39" w:name="X25a0837e2ca53a982bfb6f58a50970139f4f25f"/>
    <w:p>
      <w:pPr>
        <w:pStyle w:val="Heading4"/>
      </w:pPr>
      <w:r>
        <w:t xml:space="preserve">6.3.1. Category 9: Downstream Transportation and Distribution</w:t>
      </w:r>
    </w:p>
    <w:p>
      <w:pPr>
        <w:numPr>
          <w:ilvl w:val="0"/>
          <w:numId w:val="1009"/>
        </w:numPr>
        <w:pStyle w:val="Compact"/>
      </w:pPr>
      <w:r>
        <w:t xml:space="preserve">Outbound Finished Goods (Ocean Freight): 8,000 km * 0.0003 tonne * 0.010 kgCO2e/tonne-km = 0.024 kgCO2e</w:t>
      </w:r>
    </w:p>
    <w:p>
      <w:pPr>
        <w:numPr>
          <w:ilvl w:val="0"/>
          <w:numId w:val="1009"/>
        </w:numPr>
        <w:pStyle w:val="Compact"/>
      </w:pPr>
      <w:r>
        <w:t xml:space="preserve">Last-Mile Delivery (LCV): 50 km * 0.0003 tonne * 0.200 kgCO2e/tonne-km = 0.003 kgCO2e</w:t>
      </w:r>
    </w:p>
    <w:p>
      <w:pPr>
        <w:pStyle w:val="FirstParagraph"/>
      </w:pPr>
      <w:r>
        <w:rPr>
          <w:bCs/>
          <w:b/>
        </w:rPr>
        <w:t xml:space="preserve">Total Downstream Transport Emissions: 0.027 kgCO2e</w:t>
      </w:r>
    </w:p>
    <w:bookmarkEnd w:id="39"/>
    <w:bookmarkStart w:id="40" w:name="category-11-use-of-sold-products"/>
    <w:p>
      <w:pPr>
        <w:pStyle w:val="Heading4"/>
      </w:pPr>
      <w:r>
        <w:t xml:space="preserve">6.3.2. Category 11: Use of Sold Products</w:t>
      </w:r>
    </w:p>
    <w:p>
      <w:pPr>
        <w:pStyle w:val="FirstParagraph"/>
      </w:pPr>
      <w:r>
        <w:t xml:space="preserve">Emissions from the product\'s electricity consumption over its lifespan.</w:t>
      </w:r>
    </w:p>
    <w:p>
      <w:pPr>
        <w:numPr>
          <w:ilvl w:val="0"/>
          <w:numId w:val="1010"/>
        </w:numPr>
        <w:pStyle w:val="Compact"/>
      </w:pPr>
      <w:r>
        <w:t xml:space="preserve">Annual Energy Consumption: 5 kWh/year</w:t>
      </w:r>
    </w:p>
    <w:p>
      <w:pPr>
        <w:numPr>
          <w:ilvl w:val="0"/>
          <w:numId w:val="1010"/>
        </w:numPr>
        <w:pStyle w:val="Compact"/>
      </w:pPr>
      <w:r>
        <w:t xml:space="preserve">Product Lifespan: 7 years</w:t>
      </w:r>
    </w:p>
    <w:p>
      <w:pPr>
        <w:numPr>
          <w:ilvl w:val="0"/>
          <w:numId w:val="1010"/>
        </w:numPr>
        <w:pStyle w:val="Compact"/>
      </w:pPr>
      <w:r>
        <w:t xml:space="preserve">Total Energy Consumption over lifespan: 5 kWh/year * 7 years = 35 kWh</w:t>
      </w:r>
    </w:p>
    <w:p>
      <w:pPr>
        <w:numPr>
          <w:ilvl w:val="0"/>
          <w:numId w:val="1010"/>
        </w:numPr>
        <w:pStyle w:val="Compact"/>
      </w:pPr>
      <w:r>
        <w:t xml:space="preserve">Emissions from Use Phase: 35 kWh * 0.60 kgCO2e/kWh (assuming average grid mix for user location) = 21.0 kgCO2e</w:t>
      </w:r>
    </w:p>
    <w:p>
      <w:pPr>
        <w:pStyle w:val="FirstParagraph"/>
      </w:pPr>
      <w:r>
        <w:rPr>
          <w:bCs/>
          <w:b/>
        </w:rPr>
        <w:t xml:space="preserve">Total Use Phase Emissions: 21.0 kgCO2e</w:t>
      </w:r>
    </w:p>
    <w:bookmarkEnd w:id="40"/>
    <w:bookmarkStart w:id="41" w:name="X9f66eef2700632e081dfe139021cb724ffcd2c5"/>
    <w:p>
      <w:pPr>
        <w:pStyle w:val="Heading4"/>
      </w:pPr>
      <w:r>
        <w:t xml:space="preserve">6.3.3. Category 12: End-of-Life Treatment of Sold Products</w:t>
      </w:r>
    </w:p>
    <w:p>
      <w:pPr>
        <w:pStyle w:val="FirstParagraph"/>
      </w:pPr>
      <w:r>
        <w:t xml:space="preserve">For End-of-Life, the \'recyclability percentage\' (zqqloxhsqx) and \'circular/take-back programs\' (mlkorylnpk) imply a credit for avoided virgin material production. Recycled materials generally have a significantly lower carbon footprint than virgin materials, with reductions ranging from 10-40% or more depending on the material.</w:t>
      </w:r>
    </w:p>
    <w:p>
      <w:pPr>
        <w:numPr>
          <w:ilvl w:val="0"/>
          <w:numId w:val="1011"/>
        </w:numPr>
        <w:pStyle w:val="Compact"/>
      </w:pPr>
      <w:r>
        <w:t xml:space="preserve">Total product weight (illustrative based on BOM materials): 0.1kg (MCU) + 0.2kg (ABS) + 0.1kg (PCB) + 0.05kg (Copper) + 0.1kg (Packaging) = 0.55 kg (excluding packaging, let\'s assume 0.45kg for core product).</w:t>
      </w:r>
      <w:r>
        <w:t xml:space="preserve"> </w:t>
      </w:r>
      <w:r>
        <w:t xml:space="preserve">*</w:t>
      </w:r>
      <w:r>
        <w:t xml:space="preserve"> </w:t>
      </w:r>
      <w:r>
        <w:rPr>
          <w:iCs/>
          <w:i/>
        </w:rPr>
        <w:t xml:space="preserve">Using BOM "Total Carbon" as a proxy for the material impact, which includes some processing.</w:t>
      </w:r>
    </w:p>
    <w:p>
      <w:pPr>
        <w:numPr>
          <w:ilvl w:val="0"/>
          <w:numId w:val="1011"/>
        </w:numPr>
        <w:pStyle w:val="Compact"/>
      </w:pPr>
      <w:r>
        <w:t xml:space="preserve">Recyclable portion (80%): 0.80 * 0.45 kg = 0.36 kg</w:t>
      </w:r>
    </w:p>
    <w:p>
      <w:pPr>
        <w:numPr>
          <w:ilvl w:val="0"/>
          <w:numId w:val="1011"/>
        </w:numPr>
        <w:pStyle w:val="Compact"/>
      </w:pPr>
      <w:r>
        <w:t xml:space="preserve">Illustrative EoL impact for non-recyclable portion (20%) + processing of recyclable: Assuming a small net emission for collection/sorting/landfill for non-recyclable, and a larger credit for recyclable.</w:t>
      </w:r>
      <w:r>
        <w:t xml:space="preserve"> </w:t>
      </w:r>
      <w:r>
        <w:t xml:space="preserve">* Let\'s assume a typical virgin material emission factor for the average product composition of ~2.5 kgCO2e/kg (an average of the BOM factors).</w:t>
      </w:r>
      <w:r>
        <w:t xml:space="preserve"> </w:t>
      </w:r>
      <w:r>
        <w:t xml:space="preserve">* Avoided emissions for recyclable portion (assuming 50% GHG savings for recycled vs. virgin material on average): 0.36 kg * 2.5 kgCO2e/kg * 50% = 0.45 kgCO2e (credit)</w:t>
      </w:r>
      <w:r>
        <w:t xml:space="preserve"> </w:t>
      </w:r>
      <w:r>
        <w:t xml:space="preserve">* Disposal emissions for non-recyclable (20%): 0.09 kg (non-recycled) * 1.0 kgCO2e/kg (illustrative landfill/incineration factor) = 0.09 kgCO2e</w:t>
      </w:r>
    </w:p>
    <w:p>
      <w:pPr>
        <w:pStyle w:val="FirstParagraph"/>
      </w:pPr>
      <w:r>
        <w:rPr>
          <w:bCs/>
          <w:b/>
        </w:rPr>
        <w:t xml:space="preserve">Net End-of-Life Emissions (Credit): 0.09 kgCO2e (disposal) - 0.45 kgCO2e (credit) = -0.36 kgCO2e</w:t>
      </w:r>
    </w:p>
    <w:p>
      <w:pPr>
        <w:pStyle w:val="BodyText"/>
      </w:pPr>
      <w:r>
        <w:rPr>
          <w:iCs/>
          <w:i/>
        </w:rPr>
        <w:t xml:space="preserve">The negative value indicates a carbon removal or avoidance benefit due to recycling, facilitated by the take-back program.</w:t>
      </w:r>
    </w:p>
    <w:bookmarkEnd w:id="41"/>
    <w:bookmarkEnd w:id="42"/>
    <w:bookmarkStart w:id="43" w:name="total-product-carbon-footprint-summary"/>
    <w:p>
      <w:pPr>
        <w:pStyle w:val="Heading3"/>
      </w:pPr>
      <w:r>
        <w:t xml:space="preserve">6.4. Total Product Carbon Footprint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GHG Scope</w:t>
            </w:r>
          </w:p>
        </w:tc>
        <w:tc>
          <w:tcPr/>
          <w:p>
            <w:pPr>
              <w:pStyle w:val="Compact"/>
              <w:jc w:val="left"/>
            </w:pPr>
            <w:r>
              <w:t xml:space="preserve">Emissions (kgCO2e per functional unit)</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1.275</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0.058</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0.252</w:t>
            </w:r>
          </w:p>
        </w:tc>
      </w:tr>
      <w:tr>
        <w:tc>
          <w:tcPr/>
          <w:p>
            <w:pPr>
              <w:pStyle w:val="Compact"/>
              <w:jc w:val="left"/>
            </w:pPr>
            <w:r>
              <w:t xml:space="preserve">Downstream Transportation</w:t>
            </w:r>
          </w:p>
        </w:tc>
        <w:tc>
          <w:tcPr/>
          <w:p>
            <w:pPr>
              <w:pStyle w:val="Compact"/>
              <w:jc w:val="left"/>
            </w:pPr>
            <w:r>
              <w:t xml:space="preserve">Scope 3, Category 9</w:t>
            </w:r>
          </w:p>
        </w:tc>
        <w:tc>
          <w:tcPr/>
          <w:p>
            <w:pPr>
              <w:pStyle w:val="Compact"/>
              <w:jc w:val="left"/>
            </w:pPr>
            <w:r>
              <w:t xml:space="preserve">0.027</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21.000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-0.360</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22.252 kgCO2e</w:t>
            </w:r>
          </w:p>
        </w:tc>
      </w:tr>
    </w:tbl>
    <w:p>
      <w:pPr>
        <w:pStyle w:val="BodyText"/>
      </w:pPr>
      <w:r>
        <w:rPr>
          <w:iCs/>
          <w:i/>
        </w:rPr>
        <w:t xml:space="preserve">Note: The 2026 LSR Standard for land use and carbon removals has been acknowledged. As specific land-use change data was not provided for the components of \'orsxwshnwu\' within its supply chain, a quantitative calculation specific to LSR is not performed here. However, the principles of accounting for agricultural and land-use related emissions and removals are critical for comprehensive Scope 3 reporting and will be integrated as more granular data becomes available.</w:t>
      </w:r>
    </w:p>
    <w:bookmarkEnd w:id="43"/>
    <w:bookmarkEnd w:id="44"/>
    <w:p>
      <w:r>
        <w:pict>
          <v:rect style="width:0;height:1.5pt" o:hralign="center" o:hrstd="t" o:hr="t"/>
        </w:pict>
      </w:r>
    </w:p>
    <w:bookmarkStart w:id="48" w:name="step-5-review-report"/>
    <w:p>
      <w:pPr>
        <w:pStyle w:val="Heading2"/>
      </w:pPr>
      <w:r>
        <w:t xml:space="preserve">7. Step 5: Review &amp; Report</w:t>
      </w:r>
    </w:p>
    <w:bookmarkStart w:id="45" w:name="hotspot-analysis"/>
    <w:p>
      <w:pPr>
        <w:pStyle w:val="Heading3"/>
      </w:pPr>
      <w:r>
        <w:t xml:space="preserve">7.1. Hotspot Analysis</w:t>
      </w:r>
    </w:p>
    <w:p>
      <w:pPr>
        <w:pStyle w:val="FirstParagraph"/>
      </w:pPr>
      <w:r>
        <w:t xml:space="preserve">The primary emission hotspots for \'orsxwshnwu\' are identified as:</w:t>
      </w:r>
    </w:p>
    <w:p>
      <w:pPr>
        <w:numPr>
          <w:ilvl w:val="0"/>
          <w:numId w:val="1012"/>
        </w:numPr>
        <w:pStyle w:val="Compact"/>
      </w:pPr>
      <w:r>
        <w:rPr>
          <w:bCs/>
          <w:b/>
        </w:rPr>
        <w:t xml:space="preserve">Use Phase (94.4%):</w:t>
      </w:r>
      <w:r>
        <w:t xml:space="preserve"> </w:t>
      </w:r>
      <w:r>
        <w:t xml:space="preserve">The vast majority of the product\'s carbon footprint comes from its energy consumption during its 7-year lifespan. This indicates significant opportunities for design interventions to reduce energy demand.</w:t>
      </w:r>
    </w:p>
    <w:p>
      <w:pPr>
        <w:numPr>
          <w:ilvl w:val="0"/>
          <w:numId w:val="1012"/>
        </w:numPr>
        <w:pStyle w:val="Compact"/>
      </w:pPr>
      <w:r>
        <w:rPr>
          <w:bCs/>
          <w:b/>
        </w:rPr>
        <w:t xml:space="preserve">Raw Material Acquisition (5.7%):</w:t>
      </w:r>
      <w:r>
        <w:t xml:space="preserve"> </w:t>
      </w:r>
      <w:r>
        <w:t xml:space="preserve">The embodied carbon in the components, particularly plastics and electronics, represents the second largest contributor. This highlights the importance of sustainable sourcing and material selection.</w:t>
      </w:r>
    </w:p>
    <w:p>
      <w:pPr>
        <w:numPr>
          <w:ilvl w:val="0"/>
          <w:numId w:val="1012"/>
        </w:numPr>
        <w:pStyle w:val="Compact"/>
      </w:pPr>
      <w:r>
        <w:rPr>
          <w:bCs/>
          <w:b/>
        </w:rPr>
        <w:t xml:space="preserve">Manufacturing Energy (1.1%):</w:t>
      </w:r>
      <w:r>
        <w:t xml:space="preserve"> </w:t>
      </w:r>
      <w:r>
        <w:t xml:space="preserve">While smaller, this category shows the impact of grid electricity despite 40% renewable energy usage.</w:t>
      </w:r>
    </w:p>
    <w:bookmarkEnd w:id="45"/>
    <w:bookmarkStart w:id="46" w:name="reliability-and-limitations"/>
    <w:p>
      <w:pPr>
        <w:pStyle w:val="Heading3"/>
      </w:pPr>
      <w:r>
        <w:t xml:space="preserve">7.2. Reliability and Limitations</w:t>
      </w:r>
    </w:p>
    <w:p>
      <w:pPr>
        <w:pStyle w:val="FirstParagraph"/>
      </w:pPr>
      <w:r>
        <w:t xml:space="preserve">The reliability of this PCF analysis is influenced by:</w:t>
      </w:r>
    </w:p>
    <w:p>
      <w:pPr>
        <w:numPr>
          <w:ilvl w:val="0"/>
          <w:numId w:val="1013"/>
        </w:numPr>
        <w:pStyle w:val="Compact"/>
      </w:pPr>
      <w:r>
        <w:rPr>
          <w:bCs/>
          <w:b/>
        </w:rPr>
        <w:t xml:space="preserve">Data Quality:</w:t>
      </w:r>
      <w:r>
        <w:t xml:space="preserve"> </w:t>
      </w:r>
      <w:r>
        <w:t xml:space="preserve">The analysis relies on a combination of illustrative primary data (BOM format, energy usage, lifespan) and secondary, industry-average emission factors (Ecoinvent/DEFRA for materials, transport, and electricity). While efforts are made to use robust secondary data, actual supplier-specific data would enhance accuracy further.</w:t>
      </w:r>
    </w:p>
    <w:p>
      <w:pPr>
        <w:numPr>
          <w:ilvl w:val="0"/>
          <w:numId w:val="1013"/>
        </w:numPr>
        <w:pStyle w:val="Compact"/>
      </w:pPr>
      <w:r>
        <w:rPr>
          <w:bCs/>
          <w:b/>
        </w:rPr>
        <w:t xml:space="preserve">Assumptions:</w:t>
      </w:r>
      <w:r>
        <w:t xml:space="preserve"> </w:t>
      </w:r>
      <w:r>
        <w:t xml:space="preserve">Assumptions have been made regarding the specific product weight for transport calculations, the average grid mix for electricity (especially in the use phase without specific user location data), and the carbon credit for recycling.</w:t>
      </w:r>
    </w:p>
    <w:p>
      <w:pPr>
        <w:numPr>
          <w:ilvl w:val="0"/>
          <w:numId w:val="1013"/>
        </w:numPr>
        <w:pStyle w:val="Compact"/>
      </w:pPr>
      <w:r>
        <w:rPr>
          <w:bCs/>
          <w:b/>
        </w:rPr>
        <w:t xml:space="preserve">System Boundary:</w:t>
      </w:r>
      <w:r>
        <w:t xml:space="preserve"> </w:t>
      </w:r>
      <w:r>
        <w:t xml:space="preserve">While aiming for a cradle-to-grave perspective, the \'factory_gate\' definition for core manufacturing limits the detailed Scope 1 and 2 reporting to the immediate production site.</w:t>
      </w:r>
    </w:p>
    <w:p>
      <w:pPr>
        <w:numPr>
          <w:ilvl w:val="0"/>
          <w:numId w:val="1013"/>
        </w:numPr>
        <w:pStyle w:val="Compact"/>
      </w:pPr>
      <w:r>
        <w:rPr>
          <w:bCs/>
          <w:b/>
        </w:rPr>
        <w:t xml:space="preserve">LSR Standard:</w:t>
      </w:r>
      <w:r>
        <w:t xml:space="preserve"> </w:t>
      </w:r>
      <w:r>
        <w:t xml:space="preserve">The qualitative acknowledgement of the 2026 LSR Standard indicates that as specific land-use impacts of raw materials become traceable, this category will gain more quantitative significance in future reports.</w:t>
      </w:r>
    </w:p>
    <w:p>
      <w:pPr>
        <w:numPr>
          <w:ilvl w:val="0"/>
          <w:numId w:val="1013"/>
        </w:numPr>
        <w:pStyle w:val="Compact"/>
      </w:pPr>
      <w:r>
        <w:rPr>
          <w:bCs/>
          <w:b/>
        </w:rPr>
        <w:t xml:space="preserve">Scope 3 Coverage:</w:t>
      </w:r>
      <w:r>
        <w:t xml:space="preserve"> </w:t>
      </w:r>
      <w:r>
        <w:t xml:space="preserve">The goal of 95% Scope 3 coverage, as per 2026 GHG Protocol revisions, necessitates comprehensive data collection. This report provides a robust estimation based on available data points, recognizing that full primary data for every minor Scope 3 activity can be challenging.</w:t>
      </w:r>
    </w:p>
    <w:bookmarkEnd w:id="46"/>
    <w:bookmarkStart w:id="47" w:name="recommendations-for-remfumtkop"/>
    <w:p>
      <w:pPr>
        <w:pStyle w:val="Heading3"/>
      </w:pPr>
      <w:r>
        <w:t xml:space="preserve">7.3. Recommendations for remfumtkop</w:t>
      </w:r>
    </w:p>
    <w:p>
      <w:pPr>
        <w:pStyle w:val="FirstParagraph"/>
      </w:pPr>
      <w:r>
        <w:t xml:space="preserve">Based on this analysis, the following recommendations are put forth for remfumtkop to reduce the carbon footprint of \'orsxwshnwu\':</w:t>
      </w:r>
    </w:p>
    <w:p>
      <w:pPr>
        <w:numPr>
          <w:ilvl w:val="0"/>
          <w:numId w:val="1014"/>
        </w:numPr>
        <w:pStyle w:val="Compact"/>
      </w:pPr>
      <w:r>
        <w:rPr>
          <w:bCs/>
          <w:b/>
        </w:rPr>
        <w:t xml:space="preserve">Use Phase Optimization:</w:t>
      </w:r>
      <w:r>
        <w:t xml:space="preserve"> </w:t>
      </w:r>
      <w:r>
        <w:t xml:space="preserve">Prioritize design improvements for \'orsxwshnwu\' to significantly reduce its energy consumption during operation. This could involve exploring more energy-efficient components, smart power management features, or extending product lifespan to amortize embodied emissions over a longer period.</w:t>
      </w:r>
    </w:p>
    <w:p>
      <w:pPr>
        <w:numPr>
          <w:ilvl w:val="0"/>
          <w:numId w:val="1014"/>
        </w:numPr>
        <w:pStyle w:val="Compact"/>
      </w:pPr>
      <w:r>
        <w:rPr>
          <w:bCs/>
          <w:b/>
        </w:rPr>
        <w:t xml:space="preserve">Sustainable Material Sourcing:</w:t>
      </w:r>
      <w:r>
        <w:t xml:space="preserve"> </w:t>
      </w:r>
      <w:r>
        <w:t xml:space="preserve">Investigate opportunities for sourcing lower-carbon alternatives for key components like plastics and electronics. This includes exploring materials with higher recycled content where feasible, which can substantially lower the embodied carbon.</w:t>
      </w:r>
    </w:p>
    <w:p>
      <w:pPr>
        <w:numPr>
          <w:ilvl w:val="0"/>
          <w:numId w:val="1014"/>
        </w:numPr>
        <w:pStyle w:val="Compact"/>
      </w:pPr>
      <w:r>
        <w:rPr>
          <w:bCs/>
          <w:b/>
        </w:rPr>
        <w:t xml:space="preserve">Renewable Energy Expansion:</w:t>
      </w:r>
      <w:r>
        <w:t xml:space="preserve"> </w:t>
      </w:r>
      <w:r>
        <w:t xml:space="preserve">Increase the percentage of renewable energy used in manufacturing operations beyond the current 40% to further decarbonize direct production emissions (Scope 2).</w:t>
      </w:r>
    </w:p>
    <w:p>
      <w:pPr>
        <w:numPr>
          <w:ilvl w:val="0"/>
          <w:numId w:val="1014"/>
        </w:numPr>
        <w:pStyle w:val="Compact"/>
      </w:pPr>
      <w:r>
        <w:rPr>
          <w:bCs/>
          <w:b/>
        </w:rPr>
        <w:t xml:space="preserve">Logistics Optimization:</w:t>
      </w:r>
      <w:r>
        <w:t xml:space="preserve"> </w:t>
      </w:r>
      <w:r>
        <w:t xml:space="preserve">Review and optimize transport routes, modes, and load factors across the entire supply chain to minimize emissions. Consider closer sourcing for heavy or high-volume materials where possible.</w:t>
      </w:r>
    </w:p>
    <w:p>
      <w:pPr>
        <w:numPr>
          <w:ilvl w:val="0"/>
          <w:numId w:val="1014"/>
        </w:numPr>
        <w:pStyle w:val="Compact"/>
      </w:pPr>
      <w:r>
        <w:rPr>
          <w:bCs/>
          <w:b/>
        </w:rPr>
        <w:t xml:space="preserve">Strengthen Circular Economy Initiatives:</w:t>
      </w:r>
      <w:r>
        <w:t xml:space="preserve"> </w:t>
      </w:r>
      <w:r>
        <w:t xml:space="preserve">Continue to invest in and promote the take-back and recycling program. Explore opportunities for repairability, remanufacturing, and material upcycling to further leverage end-of-life benefits and reduce reliance on virgin materials.</w:t>
      </w:r>
    </w:p>
    <w:p>
      <w:pPr>
        <w:numPr>
          <w:ilvl w:val="0"/>
          <w:numId w:val="1014"/>
        </w:numPr>
        <w:pStyle w:val="Compact"/>
      </w:pPr>
      <w:r>
        <w:rPr>
          <w:bCs/>
          <w:b/>
        </w:rPr>
        <w:t xml:space="preserve">Data Enhancement:</w:t>
      </w:r>
      <w:r>
        <w:t xml:space="preserve"> </w:t>
      </w:r>
      <w:r>
        <w:t xml:space="preserve">Develop a robust system for collecting more granular, primary data from suppliers regarding their material production (e.g., supplier-specific PCFs) and their energy mixes, especially for high-impact components. This will improve the accuracy of future Scope 3 calculations and facilitate better decision-making.</w:t>
      </w:r>
    </w:p>
    <w:bookmarkEnd w:id="47"/>
    <w:bookmarkEnd w:id="48"/>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49" w:name="pageNumber"/>
      <w:r>
        <w:t xml:space="preserve">1</w:t>
      </w:r>
      <w:bookmarkEnd w:id="49"/>
      <w:r>
        <w:t xml:space="preserve"> </w:t>
      </w:r>
      <w:r>
        <w:t xml:space="preserve">of</w:t>
      </w:r>
      <w:r>
        <w:t xml:space="preserve"> </w:t>
      </w:r>
      <w:bookmarkStart w:id="50" w:name="totalPages"/>
      <w:r>
        <w:t xml:space="preserve">1</w:t>
      </w:r>
      <w:bookmarkEnd w:id="50"/>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orsxwshnwu</dc:title>
  <dc:creator/>
  <dc:description>Detailed Product Carbon Footprint (PCF) analysis report for orsxwshnwu, adhering to GHG Protocol standards and 2026 updates, prepared by Senior Sustainability Consultant pehvqxrher for remfumtkop.</dc:description>
  <dc:language>en</dc:language>
  <cp:keywords/>
  <dcterms:created xsi:type="dcterms:W3CDTF">2026-05-30T22:09:25Z</dcterms:created>
  <dcterms:modified xsi:type="dcterms:W3CDTF">2026-05-30T22:09:25Z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