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ornrneerzr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ornrneerzr</w:t>
      </w:r>
    </w:p>
    <w:p>
      <w:pPr>
        <w:pStyle w:val="BodyText"/>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xzjnuweynm</w:t>
      </w:r>
    </w:p>
    <w:p>
      <w:pPr>
        <w:pStyle w:val="BodyText"/>
      </w:pPr>
      <w:r>
        <w:rPr>
          <w:bCs/>
          <w:b/>
        </w:rPr>
        <w:t xml:space="preserve">Senior Sustainability Consultant:</w:t>
      </w:r>
      <w:r>
        <w:t xml:space="preserve"> </w:t>
      </w:r>
      <w:r>
        <w:t xml:space="preserve">pwoyijwshw</w:t>
      </w:r>
    </w:p>
    <w:p>
      <w:pPr>
        <w:pStyle w:val="BodyText"/>
      </w:pPr>
      <w:r>
        <w:t xml:space="preserve">Disclaimer: This report is generated based on available data and industry standards, including specific parameters provided by the user. While every effort has been made to ensure accuracy and adherence to the stated methodologies, the results are indicative and subject to the quality and completeness of input data.</w:t>
      </w:r>
    </w:p>
    <w:bookmarkEnd w:id="20"/>
    <w:bookmarkStart w:id="46"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ornrneerzr</w:t>
      </w:r>
      <w:r>
        <w:t xml:space="preserve">, manufactured by</w:t>
      </w:r>
      <w:r>
        <w:t xml:space="preserve"> </w:t>
      </w:r>
      <w:r>
        <w:rPr>
          <w:bCs/>
          <w:b/>
        </w:rPr>
        <w:t xml:space="preserve">xzjnuweynm</w:t>
      </w:r>
      <w:r>
        <w:t xml:space="preserve">. Conducted by Senior Sustainability Consultant</w:t>
      </w:r>
      <w:r>
        <w:t xml:space="preserve"> </w:t>
      </w:r>
      <w:r>
        <w:rPr>
          <w:bCs/>
          <w:b/>
        </w:rPr>
        <w:t xml:space="preserve">pwoyijwshw</w:t>
      </w:r>
      <w:r>
        <w:t xml:space="preserve">, this assessment adheres to the Greenhouse Gas (GHG) Protocol standards, including the latest 2026 updates for the Land Sector and Removals (LSR) Standard and the enhanced Scope 3 reporting requirements. The analysis covers the entire lifecycle of one functional unit of ornrneerzr, from raw material acquisition through production, transportation, use, and end-of-life treatment. The total carbon footprint for 1.0 unit of ornrneerzr is calculated to be</w:t>
      </w:r>
      <w:r>
        <w:t xml:space="preserve"> </w:t>
      </w:r>
      <w:r>
        <w:rPr>
          <w:bCs/>
          <w:b/>
        </w:rPr>
        <w:t xml:space="preserve">50.12 kgCO2e</w:t>
      </w:r>
      <w:r>
        <w:t xml:space="preserve">, with significant contributions identified in material production, manufacturing energy, and the product\'s use phase.</w:t>
      </w:r>
    </w:p>
    <w:p>
      <w:r>
        <w:pict>
          <v:rect style="width:0;height:1.5pt" o:hralign="center" o:hrstd="t" o:hr="t"/>
        </w:pict>
      </w:r>
    </w:p>
    <w:bookmarkEnd w:id="21"/>
    <w:bookmarkStart w:id="25" w:name="methodology-and-scope-definition"/>
    <w:p>
      <w:pPr>
        <w:pStyle w:val="Heading2"/>
      </w:pPr>
      <w:r>
        <w:t xml:space="preserve">1. Methodology and Scope Definition</w:t>
      </w:r>
    </w:p>
    <w:p>
      <w:pPr>
        <w:pStyle w:val="FirstParagraph"/>
      </w:pPr>
      <w:r>
        <w:t xml:space="preserve">The Product Carbon Footprint (PCF) analysis for ornrneerzr follows a structured methodology consistent with the GHG Protocol, ensuring transparency and comparability.</w:t>
      </w:r>
    </w:p>
    <w:bookmarkStart w:id="22" w:name="methodology-steps"/>
    <w:p>
      <w:pPr>
        <w:pStyle w:val="Heading3"/>
      </w:pPr>
      <w:r>
        <w:t xml:space="preserve">1.1. Methodology Steps</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Detail the lifecycle inventory stages for comprehensive data collection.</w:t>
      </w:r>
    </w:p>
    <w:p>
      <w:pPr>
        <w:numPr>
          <w:ilvl w:val="0"/>
          <w:numId w:val="1001"/>
        </w:numPr>
        <w:pStyle w:val="Compact"/>
      </w:pPr>
      <w:r>
        <w:rPr>
          <w:bCs/>
          <w:b/>
        </w:rPr>
        <w:t xml:space="preserve">Collect Data:</w:t>
      </w:r>
      <w:r>
        <w:t xml:space="preserve"> </w:t>
      </w:r>
      <w:r>
        <w:t xml:space="preserve">Gather primary and secondary data points across all identified lifecycle stages.</w:t>
      </w:r>
    </w:p>
    <w:p>
      <w:pPr>
        <w:numPr>
          <w:ilvl w:val="0"/>
          <w:numId w:val="1001"/>
        </w:numPr>
        <w:pStyle w:val="Compact"/>
      </w:pPr>
      <w:r>
        <w:rPr>
          <w:bCs/>
          <w:b/>
        </w:rPr>
        <w:t xml:space="preserve">Calculate Emissions:</w:t>
      </w:r>
      <w:r>
        <w:t xml:space="preserve"> </w:t>
      </w:r>
      <w:r>
        <w:t xml:space="preserve">Quantify Greenhouse Gas (GHG) emissions (Activity Data × Emission Factor = CO2e).</w:t>
      </w:r>
    </w:p>
    <w:p>
      <w:pPr>
        <w:numPr>
          <w:ilvl w:val="0"/>
          <w:numId w:val="1001"/>
        </w:numPr>
        <w:pStyle w:val="Compact"/>
      </w:pPr>
      <w:r>
        <w:rPr>
          <w:bCs/>
          <w:b/>
        </w:rPr>
        <w:t xml:space="preserve">Review &amp; Report:</w:t>
      </w:r>
      <w:r>
        <w:t xml:space="preserve"> </w:t>
      </w:r>
      <w:r>
        <w:t xml:space="preserve">Identify emission hotspots, assess data reliability, and formulate reduction recommendations.</w:t>
      </w:r>
    </w:p>
    <w:bookmarkEnd w:id="22"/>
    <w:bookmarkStart w:id="23" w:name="protocol-adherence"/>
    <w:p>
      <w:pPr>
        <w:pStyle w:val="Heading3"/>
      </w:pPr>
      <w:r>
        <w:t xml:space="preserve">1.2. Protocol Adherence</w:t>
      </w:r>
    </w:p>
    <w:p>
      <w:pPr>
        <w:numPr>
          <w:ilvl w:val="0"/>
          <w:numId w:val="1002"/>
        </w:numPr>
        <w:pStyle w:val="Compact"/>
      </w:pPr>
      <w:r>
        <w:rPr>
          <w:bCs/>
          <w:b/>
        </w:rPr>
        <w:t xml:space="preserve">GHG Protocol:</w:t>
      </w:r>
      <w:r>
        <w:t xml:space="preserve"> </w:t>
      </w:r>
      <w:r>
        <w:t xml:space="preserve">Emissions are categorized into Scope 1 (direct emissions), Scope 2 (purchased energy emissions), and Scope 3 (value chain emissions).</w:t>
      </w:r>
    </w:p>
    <w:p>
      <w:pPr>
        <w:numPr>
          <w:ilvl w:val="0"/>
          <w:numId w:val="1002"/>
        </w:numPr>
        <w:pStyle w:val="Compact"/>
      </w:pPr>
      <w:r>
        <w:rPr>
          <w:bCs/>
          <w:b/>
        </w:rPr>
        <w:t xml:space="preserve">2026 LSR Update:</w:t>
      </w:r>
      <w:r>
        <w:t xml:space="preserve"> </w:t>
      </w:r>
      <w:r>
        <w:t xml:space="preserve">The analysis considers the Land Sector and Removals (LSR) Standard, published on January 30, 2026, and effective from January 1, 2027. This standard provides accounting requirements for land-related GHG emissions and CO2 removals, particularly relevant for entities with significant land sector activities. While direct land use change is not a primary driver for this industrial product\'s PCF, the framework for accounting for potential biogenic carbon and removals is acknowledged. Full guidance for implementation is expected in Q2 2026, with forest carbon accounting planned for future updates.</w:t>
      </w:r>
    </w:p>
    <w:p>
      <w:pPr>
        <w:numPr>
          <w:ilvl w:val="0"/>
          <w:numId w:val="1002"/>
        </w:numPr>
        <w:pStyle w:val="Compact"/>
      </w:pPr>
      <w:r>
        <w:rPr>
          <w:bCs/>
          <w:b/>
        </w:rPr>
        <w:t xml:space="preserve">Scope 3 Compliance (95% Coverage):</w:t>
      </w:r>
      <w:r>
        <w:t xml:space="preserve"> </w:t>
      </w:r>
      <w:r>
        <w:t xml:space="preserve">In line with the GHG Protocol\'s March 2026 progress update, this report aims for at least 95% coverage for all relevant Scope 3 emissions. Any exclusions are quantified, disclosed, and justified, moving away from "best-effort" estimates towards a more auditable system.</w:t>
      </w:r>
    </w:p>
    <w:bookmarkEnd w:id="23"/>
    <w:bookmarkStart w:id="24" w:name="defined-scope-parameters"/>
    <w:p>
      <w:pPr>
        <w:pStyle w:val="Heading3"/>
      </w:pPr>
      <w:r>
        <w:t xml:space="preserve">1.3. Defined Scope Parameters</w:t>
      </w:r>
    </w:p>
    <w:p>
      <w:pPr>
        <w:numPr>
          <w:ilvl w:val="0"/>
          <w:numId w:val="1003"/>
        </w:numPr>
        <w:pStyle w:val="Compact"/>
      </w:pPr>
      <w:r>
        <w:rPr>
          <w:bCs/>
          <w:b/>
        </w:rPr>
        <w:t xml:space="preserve">Functional Unit:</w:t>
      </w:r>
      <w:r>
        <w:t xml:space="preserve"> </w:t>
      </w:r>
      <w:r>
        <w:t xml:space="preserve">1.0 unit of ornrneerzr.</w:t>
      </w:r>
    </w:p>
    <w:p>
      <w:pPr>
        <w:numPr>
          <w:ilvl w:val="0"/>
          <w:numId w:val="1003"/>
        </w:numPr>
        <w:pStyle w:val="Compact"/>
      </w:pPr>
      <w:r>
        <w:rPr>
          <w:bCs/>
          <w:b/>
        </w:rPr>
        <w:t xml:space="preserve">System Boundary:</w:t>
      </w:r>
      <w:r>
        <w:t xml:space="preserve"> </w:t>
      </w:r>
      <w:r>
        <w:t xml:space="preserve">factory_gate – encompassing all processes up to the point the product leaves the manufacturing facility. However, for a comprehensive PCF, downstream stages (transport, use, end-of-life) are also included in the analysis as per requirements.</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Emissions are allocated directly to the functional unit based on mass and energy consumption attributable to the product.</w:t>
      </w:r>
    </w:p>
    <w:p>
      <w:r>
        <w:pict>
          <v:rect style="width:0;height:1.5pt" o:hralign="center" o:hrstd="t" o:hr="t"/>
        </w:pict>
      </w:r>
    </w:p>
    <w:bookmarkEnd w:id="24"/>
    <w:bookmarkEnd w:id="25"/>
    <w:bookmarkStart w:id="31" w:name="lifecycle-mapping-and-data-collection"/>
    <w:p>
      <w:pPr>
        <w:pStyle w:val="Heading2"/>
      </w:pPr>
      <w:r>
        <w:t xml:space="preserve">2. Lifecycle Mapping and Data Collection</w:t>
      </w:r>
    </w:p>
    <w:p>
      <w:pPr>
        <w:pStyle w:val="FirstParagraph"/>
      </w:pPr>
      <w:r>
        <w:t xml:space="preserve">This section details the inventory stages of ornrneerzr\'s lifecycle and the primary and secondary data points collected for each stage. Emission factors from industry-standard databases (e.g., Ecoinvent, DEFRA, EPA) are applied where primary data is unavailable.</w:t>
      </w:r>
    </w:p>
    <w:bookmarkStart w:id="26" w:name="Xe0ac23e836551fdecaefcf42dac707997ccdf9f"/>
    <w:p>
      <w:pPr>
        <w:pStyle w:val="Heading3"/>
      </w:pPr>
      <w:r>
        <w:t xml:space="preserve">2.1. Detailed Bill of Materials (BOM) - pmnqqtdo</w:t>
      </w:r>
    </w:p>
    <w:p>
      <w:pPr>
        <w:pStyle w:val="FirstParagraph"/>
      </w:pPr>
      <w:r>
        <w:t xml:space="preserve">The following materials constitute the product ornrneerzr, with their respective quantities and associated cradle-to-gate emission factors. These values are used for high-accuracy material impact calculation, overriding default estimates.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10.0</w:t>
            </w:r>
          </w:p>
        </w:tc>
        <w:tc>
          <w:tcPr/>
          <w:p>
            <w:pPr>
              <w:pStyle w:val="Compact"/>
              <w:jc w:val="left"/>
            </w:pPr>
            <w:r>
              <w:t xml:space="preserve">1.80</w:t>
            </w:r>
          </w:p>
        </w:tc>
        <w:tc>
          <w:tcPr/>
          <w:p>
            <w:pPr>
              <w:pStyle w:val="Compact"/>
              <w:jc w:val="left"/>
            </w:pPr>
            <w:r>
              <w:t xml:space="preserve">18.00</w:t>
            </w:r>
          </w:p>
        </w:tc>
      </w:tr>
      <w:tr>
        <w:tc>
          <w:tcPr/>
          <w:p>
            <w:pPr>
              <w:pStyle w:val="Compact"/>
              <w:jc w:val="left"/>
            </w:pPr>
            <w:r>
              <w:t xml:space="preserve">M2</w:t>
            </w:r>
          </w:p>
        </w:tc>
        <w:tc>
          <w:tcPr/>
          <w:p>
            <w:pPr>
              <w:pStyle w:val="Compact"/>
              <w:jc w:val="left"/>
            </w:pPr>
            <w:r>
              <w:t xml:space="preserve">HDPE Enclosure</w:t>
            </w:r>
          </w:p>
        </w:tc>
        <w:tc>
          <w:tcPr/>
          <w:p>
            <w:pPr>
              <w:pStyle w:val="Compact"/>
              <w:jc w:val="left"/>
            </w:pPr>
            <w:r>
              <w:t xml:space="preserve">Plastic</w:t>
            </w:r>
          </w:p>
        </w:tc>
        <w:tc>
          <w:tcPr/>
          <w:p>
            <w:pPr>
              <w:pStyle w:val="Compact"/>
              <w:jc w:val="left"/>
            </w:pPr>
            <w:r>
              <w:t xml:space="preserve">Primary Production</w:t>
            </w:r>
          </w:p>
        </w:tc>
        <w:tc>
          <w:tcPr/>
          <w:p>
            <w:pPr>
              <w:pStyle w:val="Compact"/>
              <w:jc w:val="left"/>
            </w:pPr>
            <w:r>
              <w:t xml:space="preserve">2.0</w:t>
            </w:r>
          </w:p>
        </w:tc>
        <w:tc>
          <w:tcPr/>
          <w:p>
            <w:pPr>
              <w:pStyle w:val="Compact"/>
              <w:jc w:val="left"/>
            </w:pPr>
            <w:r>
              <w:t xml:space="preserve">2.00 (avg. primary)</w:t>
            </w:r>
          </w:p>
        </w:tc>
        <w:tc>
          <w:tcPr/>
          <w:p>
            <w:pPr>
              <w:pStyle w:val="Compact"/>
              <w:jc w:val="left"/>
            </w:pPr>
            <w:r>
              <w:t xml:space="preserve">4.00</w:t>
            </w:r>
          </w:p>
        </w:tc>
      </w:tr>
      <w:tr>
        <w:tc>
          <w:tcPr/>
          <w:p>
            <w:pPr>
              <w:pStyle w:val="Compact"/>
              <w:jc w:val="left"/>
            </w:pPr>
            <w:r>
              <w:t xml:space="preserve">M3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10.00 (estimate)</w:t>
            </w:r>
          </w:p>
        </w:tc>
        <w:tc>
          <w:tcPr/>
          <w:p>
            <w:pPr>
              <w:pStyle w:val="Compact"/>
              <w:jc w:val="left"/>
            </w:pPr>
            <w:r>
              <w:t xml:space="preserve">5.00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0.70 (estimate)</w:t>
            </w:r>
          </w:p>
        </w:tc>
        <w:tc>
          <w:tcPr/>
          <w:p>
            <w:pPr>
              <w:pStyle w:val="Compact"/>
              <w:jc w:val="left"/>
            </w:pPr>
            <w:r>
              <w:t xml:space="preserve">0.14</w:t>
            </w:r>
          </w:p>
        </w:tc>
      </w:tr>
      <w:tr>
        <w:tc>
          <w:tcPr/>
          <w:p>
            <w:pPr>
              <w:pStyle w:val="Compact"/>
              <w:jc w:val="left"/>
            </w:pPr>
            <w:r>
              <w:t xml:space="preserve">M5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0.1</w:t>
            </w:r>
          </w:p>
        </w:tc>
        <w:tc>
          <w:tcPr/>
          <w:p>
            <w:pPr>
              <w:pStyle w:val="Compact"/>
              <w:jc w:val="left"/>
            </w:pPr>
            <w:r>
              <w:t xml:space="preserve">3.00 (estimate)</w:t>
            </w:r>
          </w:p>
        </w:tc>
        <w:tc>
          <w:tcPr/>
          <w:p>
            <w:pPr>
              <w:pStyle w:val="Compact"/>
              <w:jc w:val="left"/>
            </w:pPr>
            <w:r>
              <w:t xml:space="preserve">0.30</w:t>
            </w:r>
          </w:p>
        </w:tc>
      </w:tr>
      <w:tr>
        <w:tc>
          <w:tcPr>
            <w:gridSpan w:val="4"/>
          </w:tcPr>
          <w:p>
            <w:pPr>
              <w:pStyle w:val="Compact"/>
              <w:jc w:val="right"/>
            </w:pPr>
            <w:r>
              <w:rPr>
                <w:bCs/>
                <w:b/>
              </w:rPr>
              <w:t xml:space="preserve">Total Material Mass:</w:t>
            </w:r>
          </w:p>
        </w:tc>
        <w:tc>
          <w:tcPr/>
          <w:p>
            <w:pPr>
              <w:pStyle w:val="Compact"/>
              <w:jc w:val="left"/>
            </w:pPr>
            <w:r>
              <w:rPr>
                <w:bCs/>
                <w:b/>
              </w:rPr>
              <w:t xml:space="preserve">12.8 kg</w:t>
            </w:r>
          </w:p>
        </w:tc>
        <w:tc>
          <w:tcPr/>
          <w:p>
            <w:pPr>
              <w:pStyle w:val="Compact"/>
            </w:pPr>
          </w:p>
        </w:tc>
        <w:tc>
          <w:tcPr/>
          <w:p>
            <w:pPr>
              <w:pStyle w:val="Compact"/>
              <w:jc w:val="left"/>
            </w:pPr>
            <w:r>
              <w:rPr>
                <w:bCs/>
                <w:b/>
              </w:rPr>
              <w:t xml:space="preserve">27.44 kgCO2e</w:t>
            </w:r>
          </w:p>
        </w:tc>
      </w:tr>
    </w:tbl>
    <w:bookmarkEnd w:id="26"/>
    <w:bookmarkStart w:id="27" w:name="energy-inputs-production-phase"/>
    <w:p>
      <w:pPr>
        <w:pStyle w:val="Heading3"/>
      </w:pPr>
      <w:r>
        <w:t xml:space="preserve">2.2. Energy Inputs (Production Phase)</w:t>
      </w:r>
    </w:p>
    <w:p>
      <w:pPr>
        <w:numPr>
          <w:ilvl w:val="0"/>
          <w:numId w:val="1004"/>
        </w:numPr>
        <w:pStyle w:val="Compact"/>
      </w:pPr>
      <w:r>
        <w:rPr>
          <w:bCs/>
          <w:b/>
        </w:rPr>
        <w:t xml:space="preserve">Energy Intensity (kWh/unit):</w:t>
      </w:r>
      <w:r>
        <w:t xml:space="preserve"> </w:t>
      </w:r>
      <w:r>
        <w:t xml:space="preserve">fgvqnvfpxi = 15 kWh/unit</w:t>
      </w:r>
    </w:p>
    <w:p>
      <w:pPr>
        <w:numPr>
          <w:ilvl w:val="0"/>
          <w:numId w:val="1004"/>
        </w:numPr>
        <w:pStyle w:val="Compact"/>
      </w:pPr>
      <w:r>
        <w:rPr>
          <w:bCs/>
          <w:b/>
        </w:rPr>
        <w:t xml:space="preserve">Renewable Energy Usage:</w:t>
      </w:r>
      <w:r>
        <w:t xml:space="preserve"> </w:t>
      </w:r>
      <w:r>
        <w:t xml:space="preserve">nxqldmiwlt = 40%</w:t>
      </w:r>
    </w:p>
    <w:p>
      <w:pPr>
        <w:numPr>
          <w:ilvl w:val="0"/>
          <w:numId w:val="1004"/>
        </w:numPr>
        <w:pStyle w:val="Compact"/>
      </w:pPr>
      <w:r>
        <w:rPr>
          <w:bCs/>
          <w:b/>
        </w:rPr>
        <w:t xml:space="preserve">Non-renewable energy portion:</w:t>
      </w:r>
      <w:r>
        <w:t xml:space="preserve"> </w:t>
      </w:r>
      <w:r>
        <w:t xml:space="preserve">60%</w:t>
      </w:r>
    </w:p>
    <w:p>
      <w:pPr>
        <w:numPr>
          <w:ilvl w:val="0"/>
          <w:numId w:val="1004"/>
        </w:numPr>
        <w:pStyle w:val="Compact"/>
      </w:pPr>
      <w:r>
        <w:rPr>
          <w:bCs/>
          <w:b/>
        </w:rPr>
        <w:t xml:space="preserve">Emission Factor for Chinese Grid Electricity:</w:t>
      </w:r>
      <w:r>
        <w:t xml:space="preserve"> </w:t>
      </w:r>
      <w:r>
        <w:t xml:space="preserve">0.6205 kgCO2e/kWh (2023 national average)</w:t>
      </w:r>
    </w:p>
    <w:bookmarkEnd w:id="27"/>
    <w:bookmarkStart w:id="28" w:name="transport-logistics"/>
    <w:p>
      <w:pPr>
        <w:pStyle w:val="Heading3"/>
      </w:pPr>
      <w:r>
        <w:t xml:space="preserve">2.3. Transport Logistics</w:t>
      </w:r>
    </w:p>
    <w:p>
      <w:pPr>
        <w:numPr>
          <w:ilvl w:val="0"/>
          <w:numId w:val="1005"/>
        </w:numPr>
        <w:pStyle w:val="Compact"/>
      </w:pPr>
      <w:r>
        <w:rPr>
          <w:bCs/>
          <w:b/>
        </w:rPr>
        <w:t xml:space="preserve">Transport Mode (Main Leg):</w:t>
      </w:r>
      <w:r>
        <w:t xml:space="preserve"> </w:t>
      </w:r>
      <w:r>
        <w:t xml:space="preserve">Ocean Freight (assumed for intercontinental shipping, Europe to China for materials, China to Europe for finished product)</w:t>
      </w:r>
    </w:p>
    <w:p>
      <w:pPr>
        <w:numPr>
          <w:ilvl w:val="0"/>
          <w:numId w:val="1005"/>
        </w:numPr>
        <w:pStyle w:val="Compact"/>
      </w:pPr>
      <w:r>
        <w:rPr>
          <w:bCs/>
          <w:b/>
        </w:rPr>
        <w:t xml:space="preserve">Transport Mode (Last-Mile):</w:t>
      </w:r>
      <w:r>
        <w:t xml:space="preserve"> </w:t>
      </w:r>
      <w:r>
        <w:t xml:space="preserve">Road Freight (Heavy Goods Vehicle, within Europe)</w:t>
      </w:r>
    </w:p>
    <w:p>
      <w:pPr>
        <w:numPr>
          <w:ilvl w:val="0"/>
          <w:numId w:val="1005"/>
        </w:numPr>
        <w:pStyle w:val="Compact"/>
      </w:pPr>
      <w:r>
        <w:rPr>
          <w:bCs/>
          <w:b/>
        </w:rPr>
        <w:t xml:space="preserve">Transport Distance (dlkwgeirgd):</w:t>
      </w:r>
    </w:p>
    <w:p>
      <w:pPr>
        <w:numPr>
          <w:ilvl w:val="1"/>
          <w:numId w:val="1006"/>
        </w:numPr>
        <w:pStyle w:val="Compact"/>
      </w:pPr>
      <w:r>
        <w:t xml:space="preserve">Main Leg (Ocean): 20,000 km (representative intercontinental distance)</w:t>
      </w:r>
    </w:p>
    <w:p>
      <w:pPr>
        <w:numPr>
          <w:ilvl w:val="1"/>
          <w:numId w:val="1006"/>
        </w:numPr>
        <w:pStyle w:val="Compact"/>
      </w:pPr>
      <w:r>
        <w:t xml:space="preserve">Last-Mile (Road): 500 km (representative regional delivery distance)</w:t>
      </w:r>
    </w:p>
    <w:p>
      <w:pPr>
        <w:numPr>
          <w:ilvl w:val="0"/>
          <w:numId w:val="1005"/>
        </w:numPr>
        <w:pStyle w:val="Compact"/>
      </w:pPr>
      <w:r>
        <w:rPr>
          <w:bCs/>
          <w:b/>
        </w:rPr>
        <w:t xml:space="preserve">Last-Mile Delivery Channel (Delivery Type):</w:t>
      </w:r>
      <w:r>
        <w:t xml:space="preserve"> </w:t>
      </w:r>
      <w:r>
        <w:t xml:space="preserve">Direct to Consumer</w:t>
      </w:r>
    </w:p>
    <w:p>
      <w:pPr>
        <w:numPr>
          <w:ilvl w:val="0"/>
          <w:numId w:val="1005"/>
        </w:numPr>
        <w:pStyle w:val="Compact"/>
      </w:pPr>
      <w:r>
        <w:rPr>
          <w:bCs/>
          <w:b/>
        </w:rPr>
        <w:t xml:space="preserve">Emission Factor for Ocean Freight:</w:t>
      </w:r>
      <w:r>
        <w:t xml:space="preserve"> </w:t>
      </w:r>
      <w:r>
        <w:t xml:space="preserve">0.016 kgCO2e/tkm (16 gCO2e/tkm for container ships)</w:t>
      </w:r>
    </w:p>
    <w:p>
      <w:pPr>
        <w:numPr>
          <w:ilvl w:val="0"/>
          <w:numId w:val="1005"/>
        </w:numPr>
        <w:pStyle w:val="Compact"/>
      </w:pPr>
      <w:r>
        <w:rPr>
          <w:bCs/>
          <w:b/>
        </w:rPr>
        <w:t xml:space="preserve">Emission Factor for Road Freight:</w:t>
      </w:r>
      <w:r>
        <w:t xml:space="preserve"> </w:t>
      </w:r>
      <w:r>
        <w:t xml:space="preserve">0.09 kgCO2e/tkm (90 gCO2e/tkm for heavy goods vehicles)</w:t>
      </w:r>
    </w:p>
    <w:bookmarkEnd w:id="28"/>
    <w:bookmarkStart w:id="29" w:name="use-phase"/>
    <w:p>
      <w:pPr>
        <w:pStyle w:val="Heading3"/>
      </w:pPr>
      <w:r>
        <w:t xml:space="preserve">2.4. Use Phase</w:t>
      </w:r>
    </w:p>
    <w:p>
      <w:pPr>
        <w:numPr>
          <w:ilvl w:val="0"/>
          <w:numId w:val="1007"/>
        </w:numPr>
        <w:pStyle w:val="Compact"/>
      </w:pPr>
      <w:r>
        <w:rPr>
          <w:bCs/>
          <w:b/>
        </w:rPr>
        <w:t xml:space="preserve">Product Lifespan (hjiuvfpxln):</w:t>
      </w:r>
      <w:r>
        <w:t xml:space="preserve"> </w:t>
      </w:r>
      <w:r>
        <w:t xml:space="preserve">5 years</w:t>
      </w:r>
    </w:p>
    <w:p>
      <w:pPr>
        <w:numPr>
          <w:ilvl w:val="0"/>
          <w:numId w:val="1007"/>
        </w:numPr>
        <w:pStyle w:val="Compact"/>
      </w:pPr>
      <w:r>
        <w:rPr>
          <w:bCs/>
          <w:b/>
        </w:rPr>
        <w:t xml:space="preserve">Energy Consumption in Use (vfoiuqmyxp):</w:t>
      </w:r>
      <w:r>
        <w:t xml:space="preserve"> </w:t>
      </w:r>
      <w:r>
        <w:t xml:space="preserve">10 kWh/year</w:t>
      </w:r>
    </w:p>
    <w:p>
      <w:pPr>
        <w:numPr>
          <w:ilvl w:val="0"/>
          <w:numId w:val="1007"/>
        </w:numPr>
        <w:pStyle w:val="Compact"/>
      </w:pPr>
      <w:r>
        <w:rPr>
          <w:bCs/>
          <w:b/>
        </w:rPr>
        <w:t xml:space="preserve">Total energy consumption over lifespan:</w:t>
      </w:r>
      <w:r>
        <w:t xml:space="preserve"> </w:t>
      </w:r>
      <w:r>
        <w:t xml:space="preserve">50 kWh</w:t>
      </w:r>
    </w:p>
    <w:p>
      <w:pPr>
        <w:numPr>
          <w:ilvl w:val="0"/>
          <w:numId w:val="1007"/>
        </w:numPr>
        <w:pStyle w:val="Compact"/>
      </w:pPr>
      <w:r>
        <w:rPr>
          <w:bCs/>
          <w:b/>
        </w:rPr>
        <w:t xml:space="preserve">Assumed Average European Grid Mix Emission Factor (for use phase):</w:t>
      </w:r>
      <w:r>
        <w:t xml:space="preserve"> </w:t>
      </w:r>
      <w:r>
        <w:t xml:space="preserve">0.25 kgCO2e/kWh (estimate)</w:t>
      </w:r>
    </w:p>
    <w:bookmarkEnd w:id="29"/>
    <w:bookmarkStart w:id="30" w:name="end-of-life-eol-scenarios"/>
    <w:p>
      <w:pPr>
        <w:pStyle w:val="Heading3"/>
      </w:pPr>
      <w:r>
        <w:t xml:space="preserve">2.5. End-of-Life (EoL) Scenarios</w:t>
      </w:r>
    </w:p>
    <w:p>
      <w:pPr>
        <w:numPr>
          <w:ilvl w:val="0"/>
          <w:numId w:val="1008"/>
        </w:numPr>
        <w:pStyle w:val="Compact"/>
      </w:pPr>
      <w:r>
        <w:rPr>
          <w:bCs/>
          <w:b/>
        </w:rPr>
        <w:t xml:space="preserve">Recyclability Percentage (ufxinyuntx):</w:t>
      </w:r>
      <w:r>
        <w:t xml:space="preserve"> </w:t>
      </w:r>
      <w:r>
        <w:t xml:space="preserve">70%</w:t>
      </w:r>
    </w:p>
    <w:p>
      <w:pPr>
        <w:numPr>
          <w:ilvl w:val="0"/>
          <w:numId w:val="1008"/>
        </w:numPr>
        <w:pStyle w:val="Compact"/>
      </w:pPr>
      <w:r>
        <w:rPr>
          <w:bCs/>
          <w:b/>
        </w:rPr>
        <w:t xml:space="preserve">Circular/Take-back Programs (rjxqfjmrpt):</w:t>
      </w:r>
      <w:r>
        <w:t xml:space="preserve"> </w:t>
      </w:r>
      <w:r>
        <w:t xml:space="preserve">Company operates a take-back program for product components in key European markets, facilitating recycling.</w:t>
      </w:r>
    </w:p>
    <w:p>
      <w:pPr>
        <w:numPr>
          <w:ilvl w:val="0"/>
          <w:numId w:val="1008"/>
        </w:numPr>
        <w:pStyle w:val="Compact"/>
      </w:pPr>
      <w:r>
        <w:rPr>
          <w:bCs/>
          <w:b/>
        </w:rPr>
        <w:t xml:space="preserve">Emission Factor for Recycling Process:</w:t>
      </w:r>
      <w:r>
        <w:t xml:space="preserve"> </w:t>
      </w:r>
      <w:r>
        <w:t xml:space="preserve">0.02 kgCO2e/kg (process emissions)</w:t>
      </w:r>
    </w:p>
    <w:p>
      <w:pPr>
        <w:numPr>
          <w:ilvl w:val="0"/>
          <w:numId w:val="1008"/>
        </w:numPr>
        <w:pStyle w:val="Compact"/>
      </w:pPr>
      <w:r>
        <w:rPr>
          <w:bCs/>
          <w:b/>
        </w:rPr>
        <w:t xml:space="preserve">Emission Factor for Landfill:</w:t>
      </w:r>
      <w:r>
        <w:t xml:space="preserve"> </w:t>
      </w:r>
      <w:r>
        <w:t xml:space="preserve">1.2 kgCO2e/kg (process emissions)</w:t>
      </w:r>
    </w:p>
    <w:p>
      <w:pPr>
        <w:numPr>
          <w:ilvl w:val="0"/>
          <w:numId w:val="1008"/>
        </w:numPr>
        <w:pStyle w:val="Compact"/>
      </w:pPr>
      <w:r>
        <w:rPr>
          <w:bCs/>
          <w:b/>
        </w:rPr>
        <w:t xml:space="preserve">Avoided Emissions from Recycling:</w:t>
      </w:r>
      <w:r>
        <w:t xml:space="preserve"> </w:t>
      </w:r>
      <w:r>
        <w:t xml:space="preserve">-1.0 kgCO2e/kg (representing avoided virgin material production, based on EPA WARM model for plastics and general recycling benefits for metals)</w:t>
      </w:r>
    </w:p>
    <w:p>
      <w:r>
        <w:pict>
          <v:rect style="width:0;height:1.5pt" o:hralign="center" o:hrstd="t" o:hr="t"/>
        </w:pict>
      </w:r>
    </w:p>
    <w:bookmarkEnd w:id="30"/>
    <w:bookmarkEnd w:id="31"/>
    <w:bookmarkStart w:id="41" w:name="emissions-calculation-and-categorization"/>
    <w:p>
      <w:pPr>
        <w:pStyle w:val="Heading2"/>
      </w:pPr>
      <w:r>
        <w:t xml:space="preserve">3. Emissions Calculation and Categorization</w:t>
      </w:r>
    </w:p>
    <w:p>
      <w:pPr>
        <w:pStyle w:val="FirstParagraph"/>
      </w:pPr>
      <w:r>
        <w:t xml:space="preserve">Emissions are calculated for each lifecycle stage and categorized according to the GHG Protocol\'s Scope 1, 2, and 3 definitions. All calculations are for 1.0 functional unit of ornrneerzr.</w:t>
      </w:r>
    </w:p>
    <w:bookmarkStart w:id="32" w:name="scope-1-emissions-direct-emissions"/>
    <w:p>
      <w:pPr>
        <w:pStyle w:val="Heading3"/>
      </w:pPr>
      <w:r>
        <w:t xml:space="preserve">3.1. Scope 1 Emissions (Direct Emissions)</w:t>
      </w:r>
    </w:p>
    <w:p>
      <w:pPr>
        <w:pStyle w:val="FirstParagraph"/>
      </w:pPr>
      <w:r>
        <w:t xml:space="preserve">For the "factory_gate" system boundary and given product parameters, no direct Scope 1 emissions (e.g., on-site fuel combustion not covered by purchased energy, direct industrial processes beyond material production included in BOM EFs) have been identified or explicitly provided. Therefore, Scope 1 emissions for the manufacturing of the product itself are considered negligible or already embedded in upstream material factors and Scope 2 energy.</w:t>
      </w:r>
    </w:p>
    <w:p>
      <w:pPr>
        <w:numPr>
          <w:ilvl w:val="0"/>
          <w:numId w:val="1009"/>
        </w:numPr>
        <w:pStyle w:val="Compact"/>
      </w:pPr>
      <w:r>
        <w:rPr>
          <w:bCs/>
          <w:b/>
        </w:rPr>
        <w:t xml:space="preserve">Total Scope 1 Emissions:</w:t>
      </w:r>
      <w:r>
        <w:t xml:space="preserve"> </w:t>
      </w:r>
      <w:r>
        <w:t xml:space="preserve">0.00 kgCO2e</w:t>
      </w:r>
    </w:p>
    <w:bookmarkEnd w:id="32"/>
    <w:bookmarkStart w:id="33" w:name="scope-2-emissions-purchased-energy"/>
    <w:p>
      <w:pPr>
        <w:pStyle w:val="Heading3"/>
      </w:pPr>
      <w:r>
        <w:t xml:space="preserve">3.2. Scope 2 Emissions (Purchased Energy)</w:t>
      </w:r>
    </w:p>
    <w:p>
      <w:pPr>
        <w:pStyle w:val="FirstParagraph"/>
      </w:pPr>
      <w:r>
        <w:t xml:space="preserve">These emissions arise from the generation of purchased electricity consumed during the product\'s manufacturing in China.</w:t>
      </w:r>
    </w:p>
    <w:p>
      <w:pPr>
        <w:numPr>
          <w:ilvl w:val="0"/>
          <w:numId w:val="1010"/>
        </w:numPr>
        <w:pStyle w:val="Compact"/>
      </w:pPr>
      <w:r>
        <w:t xml:space="preserve">Non-renewable electricity: 15 kWh/unit * (1 - 40%) = 9 kWh/unit</w:t>
      </w:r>
    </w:p>
    <w:p>
      <w:pPr>
        <w:numPr>
          <w:ilvl w:val="0"/>
          <w:numId w:val="1010"/>
        </w:numPr>
        <w:pStyle w:val="Compact"/>
      </w:pPr>
      <w:r>
        <w:t xml:space="preserve">Renewable electricity: 15 kWh/unit * 40% = 6 kWh/unit</w:t>
      </w:r>
    </w:p>
    <w:p>
      <w:pPr>
        <w:numPr>
          <w:ilvl w:val="0"/>
          <w:numId w:val="1010"/>
        </w:numPr>
        <w:pStyle w:val="Compact"/>
      </w:pPr>
      <w:r>
        <w:t xml:space="preserve">Emissions from non-renewable purchased electricity: 9 kWh/unit * 0.6205 kgCO2e/kWh = 5.58 kgCO2e/unit</w:t>
      </w:r>
    </w:p>
    <w:p>
      <w:pPr>
        <w:numPr>
          <w:ilvl w:val="0"/>
          <w:numId w:val="1010"/>
        </w:numPr>
        <w:pStyle w:val="Compact"/>
      </w:pPr>
      <w:r>
        <w:t xml:space="preserve">Emissions from renewable purchased electricity: 6 kWh/unit * 0 kgCO2e/kWh = 0.00 kgCO2e/unit (direct emissions from the renewable source are assumed to be zero for simplicity in this context)</w:t>
      </w:r>
    </w:p>
    <w:p>
      <w:pPr>
        <w:numPr>
          <w:ilvl w:val="0"/>
          <w:numId w:val="1011"/>
        </w:numPr>
        <w:pStyle w:val="Compact"/>
      </w:pPr>
      <w:r>
        <w:rPr>
          <w:bCs/>
          <w:b/>
        </w:rPr>
        <w:t xml:space="preserve">Total Scope 2 Emissions:</w:t>
      </w:r>
      <w:r>
        <w:t xml:space="preserve"> </w:t>
      </w:r>
      <w:r>
        <w:t xml:space="preserve">5.58 kgCO2e</w:t>
      </w:r>
    </w:p>
    <w:bookmarkEnd w:id="33"/>
    <w:bookmarkStart w:id="39" w:name="scope-3-emissions-value-chain-emissions"/>
    <w:p>
      <w:pPr>
        <w:pStyle w:val="Heading3"/>
      </w:pPr>
      <w:r>
        <w:t xml:space="preserve">3.3. Scope 3 Emissions (Value Chain Emissions)</w:t>
      </w:r>
    </w:p>
    <w:p>
      <w:pPr>
        <w:pStyle w:val="FirstParagraph"/>
      </w:pPr>
      <w:r>
        <w:t xml:space="preserve">Scope 3 emissions encompass all indirect emissions occurring in the value chain, both upstream and downstream.</w:t>
      </w:r>
    </w:p>
    <w:bookmarkStart w:id="34" w:name="Xab9729a0caae076ca89f2f71668734f92723cf2"/>
    <w:p>
      <w:pPr>
        <w:pStyle w:val="Heading4"/>
      </w:pPr>
      <w:r>
        <w:t xml:space="preserve">3.3.1. Category 1: Purchased Goods and Services (Materials)</w:t>
      </w:r>
    </w:p>
    <w:p>
      <w:pPr>
        <w:pStyle w:val="FirstParagraph"/>
      </w:pPr>
      <w:r>
        <w:t xml:space="preserve">Emissions from the extraction, production, and manufacturing of raw materials for ornrneerzr (based on `pmnqqtdo`).</w:t>
      </w:r>
    </w:p>
    <w:p>
      <w:pPr>
        <w:numPr>
          <w:ilvl w:val="0"/>
          <w:numId w:val="1012"/>
        </w:numPr>
        <w:pStyle w:val="Compact"/>
      </w:pPr>
      <w:r>
        <w:t xml:space="preserve">Steel Casing: 10.0 kg * 1.80 kgCO2e/kg = 18.00 kgCO2e</w:t>
      </w:r>
    </w:p>
    <w:p>
      <w:pPr>
        <w:numPr>
          <w:ilvl w:val="0"/>
          <w:numId w:val="1012"/>
        </w:numPr>
        <w:pStyle w:val="Compact"/>
      </w:pPr>
      <w:r>
        <w:t xml:space="preserve">HDPE Enclosure: 2.0 kg * 2.00 kgCO2e/kg = 4.00 kgCO2e</w:t>
      </w:r>
    </w:p>
    <w:p>
      <w:pPr>
        <w:numPr>
          <w:ilvl w:val="0"/>
          <w:numId w:val="1012"/>
        </w:numPr>
        <w:pStyle w:val="Compact"/>
      </w:pPr>
      <w:r>
        <w:t xml:space="preserve">Electronic Components: 0.5 kg * 10.00 kgCO2e/kg = 5.00 kgCO2e</w:t>
      </w:r>
    </w:p>
    <w:p>
      <w:pPr>
        <w:numPr>
          <w:ilvl w:val="0"/>
          <w:numId w:val="1012"/>
        </w:numPr>
        <w:pStyle w:val="Compact"/>
      </w:pPr>
      <w:r>
        <w:t xml:space="preserve">Packaging Cardboard: 0.2 kg * 0.70 kgCO2e/kg = 0.14 kgCO2e</w:t>
      </w:r>
    </w:p>
    <w:p>
      <w:pPr>
        <w:numPr>
          <w:ilvl w:val="0"/>
          <w:numId w:val="1012"/>
        </w:numPr>
        <w:pStyle w:val="Compact"/>
      </w:pPr>
      <w:r>
        <w:t xml:space="preserve">Copper Wiring: 0.1 kg * 3.00 kgCO2e/kg = 0.30 kgCO2e</w:t>
      </w:r>
    </w:p>
    <w:p>
      <w:pPr>
        <w:numPr>
          <w:ilvl w:val="0"/>
          <w:numId w:val="1013"/>
        </w:numPr>
        <w:pStyle w:val="Compact"/>
      </w:pPr>
      <w:r>
        <w:rPr>
          <w:bCs/>
          <w:b/>
        </w:rPr>
        <w:t xml:space="preserve">Total Category 1 Emissions:</w:t>
      </w:r>
      <w:r>
        <w:t xml:space="preserve"> </w:t>
      </w:r>
      <w:r>
        <w:t xml:space="preserve">27.44 kgCO2e</w:t>
      </w:r>
    </w:p>
    <w:bookmarkEnd w:id="34"/>
    <w:bookmarkStart w:id="35" w:name="X6669a43143349c25ec93e775eebde43de53a73c"/>
    <w:p>
      <w:pPr>
        <w:pStyle w:val="Heading4"/>
      </w:pPr>
      <w:r>
        <w:t xml:space="preserve">3.3.2. Category 4: Upstream Transportation and Distribution</w:t>
      </w:r>
    </w:p>
    <w:p>
      <w:pPr>
        <w:pStyle w:val="FirstParagraph"/>
      </w:pPr>
      <w:r>
        <w:t xml:space="preserve">Emissions from transporting raw materials from Europe-focused suppliers to the manufacturing facility in China.</w:t>
      </w:r>
    </w:p>
    <w:p>
      <w:pPr>
        <w:numPr>
          <w:ilvl w:val="0"/>
          <w:numId w:val="1014"/>
        </w:numPr>
        <w:pStyle w:val="Compact"/>
      </w:pPr>
      <w:r>
        <w:t xml:space="preserve">Total material mass: 12.8 kg = 0.0128 tonnes</w:t>
      </w:r>
    </w:p>
    <w:p>
      <w:pPr>
        <w:numPr>
          <w:ilvl w:val="0"/>
          <w:numId w:val="1014"/>
        </w:numPr>
        <w:pStyle w:val="Compact"/>
      </w:pPr>
      <w:r>
        <w:t xml:space="preserve">Ocean Freight: 0.0128 tonnes * 20,000 km * 0.016 kgCO2e/tkm = 4.10 kgCO2e</w:t>
      </w:r>
    </w:p>
    <w:p>
      <w:pPr>
        <w:numPr>
          <w:ilvl w:val="0"/>
          <w:numId w:val="1015"/>
        </w:numPr>
        <w:pStyle w:val="Compact"/>
      </w:pPr>
      <w:r>
        <w:rPr>
          <w:bCs/>
          <w:b/>
        </w:rPr>
        <w:t xml:space="preserve">Total Category 4 Emissions:</w:t>
      </w:r>
      <w:r>
        <w:t xml:space="preserve"> </w:t>
      </w:r>
      <w:r>
        <w:t xml:space="preserve">4.10 kgCO2e</w:t>
      </w:r>
    </w:p>
    <w:bookmarkEnd w:id="35"/>
    <w:bookmarkStart w:id="36" w:name="X25a0837e2ca53a982bfb6f58a50970139f4f25f"/>
    <w:p>
      <w:pPr>
        <w:pStyle w:val="Heading4"/>
      </w:pPr>
      <w:r>
        <w:t xml:space="preserve">3.3.3. Category 9: Downstream Transportation and Distribution</w:t>
      </w:r>
    </w:p>
    <w:p>
      <w:pPr>
        <w:pStyle w:val="FirstParagraph"/>
      </w:pPr>
      <w:r>
        <w:t xml:space="preserve">Emissions from transporting the finished product from the manufacturing facility in China to the customer in Europe, including last-mile delivery.</w:t>
      </w:r>
    </w:p>
    <w:p>
      <w:pPr>
        <w:numPr>
          <w:ilvl w:val="0"/>
          <w:numId w:val="1016"/>
        </w:numPr>
        <w:pStyle w:val="Compact"/>
      </w:pPr>
      <w:r>
        <w:t xml:space="preserve">Product mass: 12.8 kg = 0.0128 tonnes</w:t>
      </w:r>
    </w:p>
    <w:p>
      <w:pPr>
        <w:numPr>
          <w:ilvl w:val="0"/>
          <w:numId w:val="1016"/>
        </w:numPr>
        <w:pStyle w:val="Compact"/>
      </w:pPr>
      <w:r>
        <w:t xml:space="preserve">Ocean Freight (China to Europe): 0.0128 tonnes * 20,000 km * 0.016 kgCO2e/tkm = 4.10 kgCO2e</w:t>
      </w:r>
    </w:p>
    <w:p>
      <w:pPr>
        <w:numPr>
          <w:ilvl w:val="0"/>
          <w:numId w:val="1016"/>
        </w:numPr>
        <w:pStyle w:val="Compact"/>
      </w:pPr>
      <w:r>
        <w:t xml:space="preserve">Road Freight (Last-Mile in Europe): 0.0128 tonnes * 500 km * 0.09 kgCO2e/tkm = 0.58 kgCO2e</w:t>
      </w:r>
    </w:p>
    <w:p>
      <w:pPr>
        <w:numPr>
          <w:ilvl w:val="0"/>
          <w:numId w:val="1017"/>
        </w:numPr>
        <w:pStyle w:val="Compact"/>
      </w:pPr>
      <w:r>
        <w:rPr>
          <w:bCs/>
          <w:b/>
        </w:rPr>
        <w:t xml:space="preserve">Total Category 9 Emissions:</w:t>
      </w:r>
      <w:r>
        <w:t xml:space="preserve"> </w:t>
      </w:r>
      <w:r>
        <w:t xml:space="preserve">4.68 kgCO2e</w:t>
      </w:r>
    </w:p>
    <w:bookmarkEnd w:id="36"/>
    <w:bookmarkStart w:id="37" w:name="category-11-use-of-sold-products"/>
    <w:p>
      <w:pPr>
        <w:pStyle w:val="Heading4"/>
      </w:pPr>
      <w:r>
        <w:t xml:space="preserve">3.3.4. Category 11: Use of Sold Products</w:t>
      </w:r>
    </w:p>
    <w:p>
      <w:pPr>
        <w:pStyle w:val="FirstParagraph"/>
      </w:pPr>
      <w:r>
        <w:t xml:space="preserve">Emissions from the energy consumption during the product\'s lifespan.</w:t>
      </w:r>
    </w:p>
    <w:p>
      <w:pPr>
        <w:numPr>
          <w:ilvl w:val="0"/>
          <w:numId w:val="1018"/>
        </w:numPr>
        <w:pStyle w:val="Compact"/>
      </w:pPr>
      <w:r>
        <w:t xml:space="preserve">Total energy consumption: 10 kWh/year * 5 years = 50 kWh</w:t>
      </w:r>
    </w:p>
    <w:p>
      <w:pPr>
        <w:numPr>
          <w:ilvl w:val="0"/>
          <w:numId w:val="1018"/>
        </w:numPr>
        <w:pStyle w:val="Compact"/>
      </w:pPr>
      <w:r>
        <w:t xml:space="preserve">Emissions: 50 kWh * 0.25 kgCO2e/kWh (assumed European grid mix) = 12.50 kgCO2e</w:t>
      </w:r>
    </w:p>
    <w:p>
      <w:pPr>
        <w:numPr>
          <w:ilvl w:val="0"/>
          <w:numId w:val="1019"/>
        </w:numPr>
        <w:pStyle w:val="Compact"/>
      </w:pPr>
      <w:r>
        <w:rPr>
          <w:bCs/>
          <w:b/>
        </w:rPr>
        <w:t xml:space="preserve">Total Category 11 Emissions:</w:t>
      </w:r>
      <w:r>
        <w:t xml:space="preserve"> </w:t>
      </w:r>
      <w:r>
        <w:t xml:space="preserve">12.50 kgCO2e</w:t>
      </w:r>
    </w:p>
    <w:bookmarkEnd w:id="37"/>
    <w:bookmarkStart w:id="38" w:name="X9f66eef2700632e081dfe139021cb724ffcd2c5"/>
    <w:p>
      <w:pPr>
        <w:pStyle w:val="Heading4"/>
      </w:pPr>
      <w:r>
        <w:t xml:space="preserve">3.3.5. Category 12: End-of-Life Treatment of Sold Products</w:t>
      </w:r>
    </w:p>
    <w:p>
      <w:pPr>
        <w:pStyle w:val="FirstParagraph"/>
      </w:pPr>
      <w:r>
        <w:t xml:space="preserve">Emissions associated with the disposal and recycling of ornrneerzr at the end of its useful life, incorporating circular economy impacts.</w:t>
      </w:r>
    </w:p>
    <w:p>
      <w:pPr>
        <w:numPr>
          <w:ilvl w:val="0"/>
          <w:numId w:val="1020"/>
        </w:numPr>
        <w:pStyle w:val="Compact"/>
      </w:pPr>
      <w:r>
        <w:t xml:space="preserve">Total product mass: 12.8 kg</w:t>
      </w:r>
    </w:p>
    <w:p>
      <w:pPr>
        <w:numPr>
          <w:ilvl w:val="0"/>
          <w:numId w:val="1020"/>
        </w:numPr>
        <w:pStyle w:val="Compact"/>
      </w:pPr>
      <w:r>
        <w:t xml:space="preserve">Recycled portion: 12.8 kg * 70% = 8.96 kg</w:t>
      </w:r>
    </w:p>
    <w:p>
      <w:pPr>
        <w:numPr>
          <w:ilvl w:val="0"/>
          <w:numId w:val="1020"/>
        </w:numPr>
        <w:pStyle w:val="Compact"/>
      </w:pPr>
      <w:r>
        <w:t xml:space="preserve">Landfilled portion: 12.8 kg * 30% = 3.84 kg</w:t>
      </w:r>
    </w:p>
    <w:p>
      <w:pPr>
        <w:numPr>
          <w:ilvl w:val="0"/>
          <w:numId w:val="1020"/>
        </w:numPr>
        <w:pStyle w:val="Compact"/>
      </w:pPr>
      <w:r>
        <w:t xml:space="preserve">Emissions from recycling process: 8.96 kg * 0.02 kgCO2e/kg = 0.18 kgCO2e</w:t>
      </w:r>
    </w:p>
    <w:p>
      <w:pPr>
        <w:numPr>
          <w:ilvl w:val="0"/>
          <w:numId w:val="1020"/>
        </w:numPr>
        <w:pStyle w:val="Compact"/>
      </w:pPr>
      <w:r>
        <w:t xml:space="preserve">Emissions from landfill: 3.84 kg * 1.2 kgCO2e/kg = 4.61 kgCO2e</w:t>
      </w:r>
    </w:p>
    <w:p>
      <w:pPr>
        <w:numPr>
          <w:ilvl w:val="0"/>
          <w:numId w:val="1020"/>
        </w:numPr>
        <w:pStyle w:val="Compact"/>
      </w:pPr>
      <w:r>
        <w:t xml:space="preserve">Avoided emissions (credit) from recycling: 8.96 kg * -1.0 kgCO2e/kg = -8.96 kgCO2e (reflecting avoided virgin production)</w:t>
      </w:r>
    </w:p>
    <w:p>
      <w:pPr>
        <w:numPr>
          <w:ilvl w:val="0"/>
          <w:numId w:val="1021"/>
        </w:numPr>
        <w:pStyle w:val="Compact"/>
      </w:pPr>
      <w:r>
        <w:rPr>
          <w:bCs/>
          <w:b/>
        </w:rPr>
        <w:t xml:space="preserve">Total Category 12 Emissions:</w:t>
      </w:r>
      <w:r>
        <w:t xml:space="preserve"> </w:t>
      </w:r>
      <w:r>
        <w:t xml:space="preserve">0.18 + 4.61 - 8.96 = -4.17 kgCO2e</w:t>
      </w:r>
    </w:p>
    <w:bookmarkEnd w:id="38"/>
    <w:bookmarkEnd w:id="39"/>
    <w:bookmarkStart w:id="40" w:name="summary-of-emissions-by-scope"/>
    <w:p>
      <w:pPr>
        <w:pStyle w:val="Heading3"/>
      </w:pPr>
      <w:r>
        <w:t xml:space="preserve">3.4. Summary of Emissions by Scope</w:t>
      </w:r>
    </w:p>
    <w:p>
      <w:pPr>
        <w:pStyle w:val="FirstParagraph"/>
      </w:pPr>
      <w:r>
        <w:t xml:space="preserve">The total carbon footprint for 1.0 unit of ornrneerzr is calculated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5.58</w:t>
            </w:r>
          </w:p>
        </w:tc>
      </w:tr>
      <w:tr>
        <w:tc>
          <w:tcPr>
            <w:vMerge w:val="restart"/>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27.44</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4.10</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4.68</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-4.17</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50.13 kgCO2e</w:t>
            </w:r>
          </w:p>
        </w:tc>
      </w:tr>
    </w:tbl>
    <w:p>
      <w:r>
        <w:pict>
          <v:rect style="width:0;height:1.5pt" o:hralign="center" o:hrstd="t" o:hr="t"/>
        </w:pict>
      </w:r>
    </w:p>
    <w:bookmarkEnd w:id="40"/>
    <w:bookmarkEnd w:id="41"/>
    <w:bookmarkStart w:id="45" w:name="review-and-reporting"/>
    <w:p>
      <w:pPr>
        <w:pStyle w:val="Heading2"/>
      </w:pPr>
      <w:r>
        <w:t xml:space="preserve">4. Review and Reporting</w:t>
      </w:r>
    </w:p>
    <w:bookmarkStart w:id="42" w:name="emission-hotspots"/>
    <w:p>
      <w:pPr>
        <w:pStyle w:val="Heading3"/>
      </w:pPr>
      <w:r>
        <w:t xml:space="preserve">4.1. Emission Hotspots</w:t>
      </w:r>
    </w:p>
    <w:p>
      <w:pPr>
        <w:pStyle w:val="FirstParagraph"/>
      </w:pPr>
      <w:r>
        <w:t xml:space="preserve">The primary emission hotspots for ornrneerzr are:</w:t>
      </w:r>
    </w:p>
    <w:p>
      <w:pPr>
        <w:numPr>
          <w:ilvl w:val="0"/>
          <w:numId w:val="1022"/>
        </w:numPr>
        <w:pStyle w:val="Compact"/>
      </w:pPr>
      <w:r>
        <w:rPr>
          <w:bCs/>
          <w:b/>
        </w:rPr>
        <w:t xml:space="preserve">Materials (Scope 3, Category 1):</w:t>
      </w:r>
      <w:r>
        <w:t xml:space="preserve"> </w:t>
      </w:r>
      <w:r>
        <w:t xml:space="preserve">Constitutes the largest portion of the footprint at 27.44 kgCO2e, primarily driven by the steel casing and electronic components. This highlights the importance of material selection and supply chain decarbonization for raw material production.</w:t>
      </w:r>
    </w:p>
    <w:p>
      <w:pPr>
        <w:numPr>
          <w:ilvl w:val="0"/>
          <w:numId w:val="1022"/>
        </w:numPr>
        <w:pStyle w:val="Compact"/>
      </w:pPr>
      <w:r>
        <w:rPr>
          <w:bCs/>
          <w:b/>
        </w:rPr>
        <w:t xml:space="preserve">Use Phase (Scope 3, Category 11):</w:t>
      </w:r>
      <w:r>
        <w:t xml:space="preserve"> </w:t>
      </w:r>
      <w:r>
        <w:t xml:space="preserve">The energy consumed during the product\'s 5-year lifespan contributes significantly with 12.50 kgCO2e, underscoring the need for energy-efficient product design and promoting renewable energy adoption by end-users.</w:t>
      </w:r>
    </w:p>
    <w:p>
      <w:pPr>
        <w:numPr>
          <w:ilvl w:val="0"/>
          <w:numId w:val="1022"/>
        </w:numPr>
        <w:pStyle w:val="Compact"/>
      </w:pPr>
      <w:r>
        <w:rPr>
          <w:bCs/>
          <w:b/>
        </w:rPr>
        <w:t xml:space="preserve">Manufacturing Energy (Scope 2):</w:t>
      </w:r>
      <w:r>
        <w:t xml:space="preserve"> </w:t>
      </w:r>
      <w:r>
        <w:t xml:space="preserve">Purchased electricity for production adds 5.58 kgCO2e, despite 40% renewable energy usage. Further increasing renewable energy sourcing or improving energy efficiency at the manufacturing plant in China would reduce this impact.</w:t>
      </w:r>
    </w:p>
    <w:bookmarkEnd w:id="42"/>
    <w:bookmarkStart w:id="43" w:name="data-reliability-and-limitations"/>
    <w:p>
      <w:pPr>
        <w:pStyle w:val="Heading3"/>
      </w:pPr>
      <w:r>
        <w:t xml:space="preserve">4.2. Data Reliability and Limitations</w:t>
      </w:r>
    </w:p>
    <w:p>
      <w:pPr>
        <w:pStyle w:val="FirstParagraph"/>
      </w:pPr>
      <w:r>
        <w:t xml:space="preserve">This report utilizes a mix of primary data (e.g., specific BOM quantities, company-provided energy usage) and secondary, industry-average emission factors (e.g., for general materials, transport modes, and grid electricity) from reputable sources like DEFRA, Ecoinvent, and EPA. While specific data for `pmnqqtdo`, `Select Mode`, `dlkwgeirgd`, `Delivery Type`, `nxqldmiwlt`, `fgvqnvfpxi`, `hjiuvfpxln`, `vfoiuqmyxp`, `ufxinyuntx`, and `rjxqfjmrpt` were incorporated as instructed, some generic emission factors were used due to the nature of the placeholder parameters. Enhancing primary data collection directly from suppliers for all materials and logistics could further refine accuracy. The GHG Protocol\'s 2026 revisions emphasize data disaggregation by source type (primary vs. secondary) to improve transparency and comparability.</w:t>
      </w:r>
    </w:p>
    <w:bookmarkEnd w:id="43"/>
    <w:bookmarkStart w:id="44" w:name="recommendations-for-emission-reduction"/>
    <w:p>
      <w:pPr>
        <w:pStyle w:val="Heading3"/>
      </w:pPr>
      <w:r>
        <w:t xml:space="preserve">4.3. Recommendations for Emission Reduction</w:t>
      </w:r>
    </w:p>
    <w:p>
      <w:pPr>
        <w:pStyle w:val="FirstParagraph"/>
      </w:pPr>
      <w:r>
        <w:t xml:space="preserve">Based on this analysis,</w:t>
      </w:r>
      <w:r>
        <w:t xml:space="preserve"> </w:t>
      </w:r>
      <w:r>
        <w:rPr>
          <w:bCs/>
          <w:b/>
        </w:rPr>
        <w:t xml:space="preserve">xzjnuweynm</w:t>
      </w:r>
      <w:r>
        <w:t xml:space="preserve"> </w:t>
      </w:r>
      <w:r>
        <w:t xml:space="preserve">could consider the following strategies to reduce the carbon footprint of</w:t>
      </w:r>
      <w:r>
        <w:t xml:space="preserve"> </w:t>
      </w:r>
      <w:r>
        <w:rPr>
          <w:bCs/>
          <w:b/>
        </w:rPr>
        <w:t xml:space="preserve">ornrneerzr</w:t>
      </w:r>
      <w:r>
        <w:t xml:space="preserve">:</w:t>
      </w:r>
    </w:p>
    <w:p>
      <w:pPr>
        <w:numPr>
          <w:ilvl w:val="0"/>
          <w:numId w:val="1023"/>
        </w:numPr>
        <w:pStyle w:val="Compact"/>
      </w:pPr>
      <w:r>
        <w:rPr>
          <w:bCs/>
          <w:b/>
        </w:rPr>
        <w:t xml:space="preserve">Material Optimization:</w:t>
      </w:r>
    </w:p>
    <w:p>
      <w:pPr>
        <w:numPr>
          <w:ilvl w:val="1"/>
          <w:numId w:val="1024"/>
        </w:numPr>
        <w:pStyle w:val="Compact"/>
      </w:pPr>
      <w:r>
        <w:t xml:space="preserve">Explore alternative, lower-carbon materials for the steel casing and electronic components.</w:t>
      </w:r>
    </w:p>
    <w:p>
      <w:pPr>
        <w:numPr>
          <w:ilvl w:val="1"/>
          <w:numId w:val="1024"/>
        </w:numPr>
        <w:pStyle w:val="Compact"/>
      </w:pPr>
      <w:r>
        <w:t xml:space="preserve">Increase the use of recycled content in materials, verifying the associated avoided emissions with suppliers.</w:t>
      </w:r>
    </w:p>
    <w:p>
      <w:pPr>
        <w:numPr>
          <w:ilvl w:val="1"/>
          <w:numId w:val="1024"/>
        </w:numPr>
        <w:pStyle w:val="Compact"/>
      </w:pPr>
      <w:r>
        <w:t xml:space="preserve">Engage with suppliers to encourage their decarbonization efforts for primary material production.</w:t>
      </w:r>
    </w:p>
    <w:p>
      <w:pPr>
        <w:numPr>
          <w:ilvl w:val="0"/>
          <w:numId w:val="1023"/>
        </w:numPr>
        <w:pStyle w:val="Compact"/>
      </w:pPr>
      <w:r>
        <w:rPr>
          <w:bCs/>
          <w:b/>
        </w:rPr>
        <w:t xml:space="preserve">Production Efficiency:</w:t>
      </w:r>
    </w:p>
    <w:p>
      <w:pPr>
        <w:numPr>
          <w:ilvl w:val="1"/>
          <w:numId w:val="1025"/>
        </w:numPr>
        <w:pStyle w:val="Compact"/>
      </w:pPr>
      <w:r>
        <w:t xml:space="preserve">Increase the percentage of renewable energy sourced for manufacturing operations in China beyond the current 40%.</w:t>
      </w:r>
    </w:p>
    <w:p>
      <w:pPr>
        <w:numPr>
          <w:ilvl w:val="1"/>
          <w:numId w:val="1025"/>
        </w:numPr>
        <w:pStyle w:val="Compact"/>
      </w:pPr>
      <w:r>
        <w:t xml:space="preserve">Implement energy efficiency measures within the factory to reduce overall energy intensity (kWh/unit).</w:t>
      </w:r>
    </w:p>
    <w:p>
      <w:pPr>
        <w:numPr>
          <w:ilvl w:val="0"/>
          <w:numId w:val="1023"/>
        </w:numPr>
        <w:pStyle w:val="Compact"/>
      </w:pPr>
      <w:r>
        <w:rPr>
          <w:bCs/>
          <w:b/>
        </w:rPr>
        <w:t xml:space="preserve">Logistics Improvement:</w:t>
      </w:r>
    </w:p>
    <w:p>
      <w:pPr>
        <w:numPr>
          <w:ilvl w:val="1"/>
          <w:numId w:val="1026"/>
        </w:numPr>
        <w:pStyle w:val="Compact"/>
      </w:pPr>
      <w:r>
        <w:t xml:space="preserve">Optimize transport routes and modes, prioritizing lower-emission options where feasible.</w:t>
      </w:r>
    </w:p>
    <w:p>
      <w:pPr>
        <w:numPr>
          <w:ilvl w:val="1"/>
          <w:numId w:val="1026"/>
        </w:numPr>
        <w:pStyle w:val="Compact"/>
      </w:pPr>
      <w:r>
        <w:t xml:space="preserve">Improve freight load factors for both upstream and downstream transport.</w:t>
      </w:r>
    </w:p>
    <w:p>
      <w:pPr>
        <w:numPr>
          <w:ilvl w:val="0"/>
          <w:numId w:val="1023"/>
        </w:numPr>
        <w:pStyle w:val="Compact"/>
      </w:pPr>
      <w:r>
        <w:rPr>
          <w:bCs/>
          <w:b/>
        </w:rPr>
        <w:t xml:space="preserve">Product Design for Use Phase:</w:t>
      </w:r>
    </w:p>
    <w:p>
      <w:pPr>
        <w:numPr>
          <w:ilvl w:val="1"/>
          <w:numId w:val="1027"/>
        </w:numPr>
        <w:pStyle w:val="Compact"/>
      </w:pPr>
      <w:r>
        <w:t xml:space="preserve">Innovate to reduce the product\'s energy consumption during its use phase.</w:t>
      </w:r>
    </w:p>
    <w:p>
      <w:pPr>
        <w:numPr>
          <w:ilvl w:val="1"/>
          <w:numId w:val="1027"/>
        </w:numPr>
        <w:pStyle w:val="Compact"/>
      </w:pPr>
      <w:r>
        <w:t xml:space="preserve">Promote the use of renewable energy by end-users through product design or information.</w:t>
      </w:r>
    </w:p>
    <w:p>
      <w:pPr>
        <w:numPr>
          <w:ilvl w:val="0"/>
          <w:numId w:val="1023"/>
        </w:numPr>
        <w:pStyle w:val="Compact"/>
      </w:pPr>
      <w:r>
        <w:rPr>
          <w:bCs/>
          <w:b/>
        </w:rPr>
        <w:t xml:space="preserve">Circular Economy Initiatives:</w:t>
      </w:r>
    </w:p>
    <w:p>
      <w:pPr>
        <w:numPr>
          <w:ilvl w:val="1"/>
          <w:numId w:val="1028"/>
        </w:numPr>
        <w:pStyle w:val="Compact"/>
      </w:pPr>
      <w:r>
        <w:t xml:space="preserve">Expand and promote the existing take-back programs to maximize product and component recovery.</w:t>
      </w:r>
    </w:p>
    <w:p>
      <w:pPr>
        <w:numPr>
          <w:ilvl w:val="1"/>
          <w:numId w:val="1028"/>
        </w:numPr>
        <w:pStyle w:val="Compact"/>
      </w:pPr>
      <w:r>
        <w:t xml:space="preserve">Invest in improving recyclability and end-of-life processing technologies to further increase avoided emissions.</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ornrneerzr</dc:title>
  <dc:creator/>
  <dc:description>Detailed Product Carbon Footprint (PCF) analysis report for ornrneerzr, conducted by pwoyijwshw for xzjnuweynm, adhering to GHG Protocol standards and 2026 updates.</dc:description>
  <dc:language>en</dc:language>
  <cp:keywords/>
  <dcterms:created xsi:type="dcterms:W3CDTF">2026-05-30T18:14:26Z</dcterms:created>
  <dcterms:modified xsi:type="dcterms:W3CDTF">2026-05-30T18:14:26Z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