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opfjuvnzqy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opfjuvnzqy</w:t>
      </w:r>
    </w:p>
    <w:p>
      <w:pPr>
        <w:pStyle w:val="BodyText"/>
      </w:pPr>
      <w:r>
        <w:t xml:space="preserve">Company Name:</w:t>
      </w:r>
      <w:r>
        <w:t xml:space="preserve"> </w:t>
      </w:r>
      <w:r>
        <w:rPr>
          <w:bCs/>
          <w:b/>
        </w:rPr>
        <w:t xml:space="preserve">xwdjyxfjom</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tgytwwsurg</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21" w:name="Xa7124d6a9b1b21bd378b2a685bd1489570d5e74"/>
    <w:p>
      <w:pPr>
        <w:pStyle w:val="Heading1"/>
      </w:pPr>
      <w:r>
        <w:t xml:space="preserve">Product Carbon Footprint (PCF) Analysis Report for opfjuvnzqy</w:t>
      </w:r>
    </w:p>
    <w:p>
      <w:pPr>
        <w:pStyle w:val="FirstParagraph"/>
      </w:pPr>
      <w:r>
        <w:t xml:space="preserve">Generated Date: June 3, 2026</w:t>
      </w:r>
    </w:p>
    <w:p>
      <w:pPr>
        <w:pStyle w:val="BodyText"/>
      </w:pPr>
      <w:r>
        <w:t xml:space="preserve">Company: xwdjyxfjom</w:t>
      </w:r>
    </w:p>
    <w:p>
      <w:pPr>
        <w:pStyle w:val="BodyText"/>
      </w:pPr>
      <w:r>
        <w:t xml:space="preserve">Senior Sustainability Consultant: tgytwwsurg</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opfjuvnzqy</w:t>
      </w:r>
      <w:r>
        <w:t xml:space="preserve">, manufactured by</w:t>
      </w:r>
      <w:r>
        <w:t xml:space="preserve"> </w:t>
      </w:r>
      <w:r>
        <w:rPr>
          <w:bCs/>
          <w:b/>
        </w:rPr>
        <w:t xml:space="preserve">xwdjyxfjom</w:t>
      </w:r>
      <w:r>
        <w:t xml:space="preserve">. Conducted by</w:t>
      </w:r>
      <w:r>
        <w:t xml:space="preserve"> </w:t>
      </w:r>
      <w:r>
        <w:rPr>
          <w:bCs/>
          <w:b/>
        </w:rPr>
        <w:t xml:space="preserve">tgytwwsurg</w:t>
      </w:r>
      <w:r>
        <w:t xml:space="preserve">, Senior Sustainability Consultant, this analysis adheres to the GHG Protocol and incorporates the latest 2026 LSR Update considerations. The assessment provides a cradle-to-grave quantification of greenhouse gas (GHG) emissions, identifying key hotspots across the product\'s lifecycle from raw material extraction to end-of-life. The total Product Carbon Footprint for one functional unit of opfjuvnzqy is calculated to be</w:t>
      </w:r>
      <w:r>
        <w:t xml:space="preserve"> </w:t>
      </w:r>
      <w:r>
        <w:rPr>
          <w:bCs/>
          <w:b/>
        </w:rPr>
        <w:t xml:space="preserve">53.86 kg CO2e</w:t>
      </w:r>
      <w:r>
        <w:t xml:space="preserve">.</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analysis for opfjuvnzqy follows a comprehensive methodology structured around the GHG Protocol standards, ensuring robust and transparent reporting of greenhouse gas emissions.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w:t>
      </w:r>
      <w:r>
        <w:t xml:space="preserve"> </w:t>
      </w:r>
      <w:r>
        <w:rPr>
          <w:bCs/>
          <w:b/>
        </w:rPr>
        <w:t xml:space="preserve">1.0 unit</w:t>
      </w:r>
      <w:r>
        <w:t xml:space="preserve"> </w:t>
      </w:r>
      <w:r>
        <w:t xml:space="preserve">of opfjuvnzqy.</w:t>
      </w:r>
    </w:p>
    <w:p>
      <w:pPr>
        <w:numPr>
          <w:ilvl w:val="0"/>
          <w:numId w:val="1001"/>
        </w:numPr>
        <w:pStyle w:val="Compact"/>
      </w:pPr>
      <w:r>
        <w:rPr>
          <w:bCs/>
          <w:b/>
        </w:rPr>
        <w:t xml:space="preserve">System Boundary:</w:t>
      </w:r>
      <w:r>
        <w:t xml:space="preserve"> </w:t>
      </w:r>
      <w:r>
        <w:t xml:space="preserve">While initially referencing a \'factory_gate\' boundary, this report extends to a **cradle-to-grave** assessment to fully incorporate all provided parameters, including transportation to the customer, use phase, and end-of-life scenarios. The boundary includes raw material acquisition, manufacturing, distribution, use,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for distribution and use phase assumptions.</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where the product is part of a larger load), mass-based allocation is applied where appropriate.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(direct), Scope 2 (purchased energy), and Scope 3 (value chain) for organizational context. For PCF, these scopes are applied to the lifecycle stages.</w:t>
      </w:r>
    </w:p>
    <w:p>
      <w:pPr>
        <w:numPr>
          <w:ilvl w:val="0"/>
          <w:numId w:val="1001"/>
        </w:numPr>
        <w:pStyle w:val="Compact"/>
      </w:pPr>
      <w:r>
        <w:rPr>
          <w:bCs/>
          <w:b/>
        </w:rPr>
        <w:t xml:space="preserve">2026 LSR Update:</w:t>
      </w:r>
      <w:r>
        <w:t xml:space="preserve"> </w:t>
      </w:r>
      <w:r>
        <w:t xml:space="preserve">The Land Sector and Removals (LSR) Standard is acknowledged. For opfjuvnzqy, given its primary material composition (metals, plastics, electronics), significant direct land-use change emissions or removals are not quantifiable with the provided data and are assumed to be negligible at this product level beyond general supply chain impacts accounted for in material emission factors.</w:t>
      </w:r>
    </w:p>
    <w:p>
      <w:pPr>
        <w:numPr>
          <w:ilvl w:val="0"/>
          <w:numId w:val="1001"/>
        </w:numPr>
        <w:pStyle w:val="Compact"/>
      </w:pPr>
      <w:r>
        <w:rPr>
          <w:bCs/>
          <w:b/>
        </w:rPr>
        <w:t xml:space="preserve">Scope 3 Compliance:</w:t>
      </w:r>
      <w:r>
        <w:t xml:space="preserve"> </w:t>
      </w:r>
      <w:r>
        <w:t xml:space="preserve">Data collection aimed for at least 95% coverage for relevant Scope 3 categories, aligning with 2026 requirements for comprehensive value chain reporting.</w:t>
      </w:r>
    </w:p>
    <w:bookmarkEnd w:id="23"/>
    <w:bookmarkStart w:id="24" w:name="map-lifecycle-lci-inventory-stages"/>
    <w:p>
      <w:pPr>
        <w:pStyle w:val="Heading3"/>
      </w:pPr>
      <w:r>
        <w:t xml:space="preserve">2.2. Map Lifecycle (LCI Inventory Stages)</w:t>
      </w:r>
    </w:p>
    <w:p>
      <w:pPr>
        <w:pStyle w:val="FirstParagraph"/>
      </w:pPr>
      <w:r>
        <w:t xml:space="preserve">The lifecycle of opfjuvnzqy has been mapped into the following stages for inventory data collection and emission calculation:</w:t>
      </w:r>
    </w:p>
    <w:p>
      <w:pPr>
        <w:numPr>
          <w:ilvl w:val="0"/>
          <w:numId w:val="1002"/>
        </w:numPr>
        <w:pStyle w:val="Compact"/>
      </w:pPr>
      <w:r>
        <w:rPr>
          <w:bCs/>
          <w:b/>
        </w:rPr>
        <w:t xml:space="preserve">Raw Material Extraction &amp; Processing:</w:t>
      </w:r>
      <w:r>
        <w:t xml:space="preserve"> </w:t>
      </w:r>
      <w:r>
        <w:t xml:space="preserve">Includes emissions associated with the production of all components and packaging materials as detailed in the Bill of Materials (BOM).</w:t>
      </w:r>
    </w:p>
    <w:p>
      <w:pPr>
        <w:numPr>
          <w:ilvl w:val="0"/>
          <w:numId w:val="1002"/>
        </w:numPr>
        <w:pStyle w:val="Compact"/>
      </w:pPr>
      <w:r>
        <w:rPr>
          <w:bCs/>
          <w:b/>
        </w:rPr>
        <w:t xml:space="preserve">Manufacturing:</w:t>
      </w:r>
      <w:r>
        <w:t xml:space="preserve"> </w:t>
      </w:r>
      <w:r>
        <w:t xml:space="preserve">Emissions from the energy consumption during the assembly and production processes at the factory in China.</w:t>
      </w:r>
    </w:p>
    <w:p>
      <w:pPr>
        <w:numPr>
          <w:ilvl w:val="0"/>
          <w:numId w:val="1002"/>
        </w:numPr>
        <w:pStyle w:val="Compact"/>
      </w:pPr>
      <w:r>
        <w:rPr>
          <w:bCs/>
          <w:b/>
        </w:rPr>
        <w:t xml:space="preserve">Transportation to Market:</w:t>
      </w:r>
      <w:r>
        <w:t xml:space="preserve"> </w:t>
      </w:r>
      <w:r>
        <w:t xml:space="preserve">Logistics from the factory in China to the distribution points in Europe and onward to the end customer.</w:t>
      </w:r>
    </w:p>
    <w:p>
      <w:pPr>
        <w:numPr>
          <w:ilvl w:val="0"/>
          <w:numId w:val="1002"/>
        </w:numPr>
        <w:pStyle w:val="Compact"/>
      </w:pPr>
      <w:r>
        <w:rPr>
          <w:bCs/>
          <w:b/>
        </w:rPr>
        <w:t xml:space="preserve">Use Phase:</w:t>
      </w:r>
      <w:r>
        <w:t xml:space="preserve"> </w:t>
      </w:r>
      <w:r>
        <w:t xml:space="preserve">Emissions from the product\'s electricity consumption over its specified lifespan.</w:t>
      </w:r>
    </w:p>
    <w:p>
      <w:pPr>
        <w:numPr>
          <w:ilvl w:val="0"/>
          <w:numId w:val="1002"/>
        </w:numPr>
        <w:pStyle w:val="Compact"/>
      </w:pPr>
      <w:r>
        <w:rPr>
          <w:bCs/>
          <w:b/>
        </w:rPr>
        <w:t xml:space="preserve">End-of-Life (EoL):</w:t>
      </w:r>
      <w:r>
        <w:t xml:space="preserve"> </w:t>
      </w:r>
      <w:r>
        <w:t xml:space="preserve">Emissions or avoided emissions associated with recycling and disposal pathways.</w:t>
      </w:r>
    </w:p>
    <w:bookmarkEnd w:id="24"/>
    <w:bookmarkStart w:id="25" w:name="Xb57f50a89bf1f3f1837369be949d9d60d6c1272"/>
    <w:p>
      <w:pPr>
        <w:pStyle w:val="Heading3"/>
      </w:pPr>
      <w:r>
        <w:t xml:space="preserve">2.3. Collect Data (Primary/Secondary Data Points)</w:t>
      </w:r>
    </w:p>
    <w:p>
      <w:pPr>
        <w:pStyle w:val="FirstParagraph"/>
      </w:pPr>
      <w:r>
        <w:t xml:space="preserve">Data for the PCF analysis was collected using a combination of primary (provided parameters) and secondary (industry-standard emission factors) data sources:</w:t>
      </w:r>
    </w:p>
    <w:p>
      <w:pPr>
        <w:numPr>
          <w:ilvl w:val="0"/>
          <w:numId w:val="1003"/>
        </w:numPr>
        <w:pStyle w:val="Compact"/>
      </w:pPr>
      <w:r>
        <w:rPr>
          <w:bCs/>
          <w:b/>
        </w:rPr>
        <w:t xml:space="preserve">Detailed Bill of Materials (BOM):</w:t>
      </w:r>
      <w:r>
        <w:t xml:space="preserve"> </w:t>
      </w:r>
      <w:r>
        <w:t xml:space="preserve">The provided data for</w:t>
      </w:r>
      <w:r>
        <w:t xml:space="preserve"> </w:t>
      </w:r>
      <w:r>
        <w:rPr>
          <w:bCs/>
          <w:b/>
        </w:rPr>
        <w:t xml:space="preserve">fesujddk</w:t>
      </w:r>
      <w:r>
        <w:t xml:space="preserve"> </w:t>
      </w:r>
      <w:r>
        <w:t xml:space="preserve">was used for high-accuracy material impact calculation.</w:t>
      </w:r>
    </w:p>
    <w:p>
      <w:pPr>
        <w:numPr>
          <w:ilvl w:val="0"/>
          <w:numId w:val="1003"/>
        </w:numPr>
        <w:pStyle w:val="Compact"/>
      </w:pPr>
      <w:r>
        <w:rPr>
          <w:bCs/>
          <w:b/>
        </w:rPr>
        <w:t xml:space="preserve">Logistics Data:</w:t>
      </w:r>
      <w:r>
        <w:t xml:space="preserve"> </w:t>
      </w:r>
      <w:r>
        <w:t xml:space="preserve">Specific transport mode (Ocean Freight + Road Freight), distance (8000 km Ocean, 500 km Road), and last-mile delivery channel (Standard Parcel Delivery) were incorporated.</w:t>
      </w:r>
    </w:p>
    <w:p>
      <w:pPr>
        <w:numPr>
          <w:ilvl w:val="0"/>
          <w:numId w:val="1003"/>
        </w:numPr>
        <w:pStyle w:val="Compact"/>
      </w:pPr>
      <w:r>
        <w:rPr>
          <w:bCs/>
          <w:b/>
        </w:rPr>
        <w:t xml:space="preserve">Production Energy Data:</w:t>
      </w:r>
      <w:r>
        <w:t xml:space="preserve"> </w:t>
      </w:r>
      <w:r>
        <w:t xml:space="preserve">Renewable energy usage (70%) and energy intensity (100 kWh/unit) for the production phase were applied.</w:t>
      </w:r>
    </w:p>
    <w:p>
      <w:pPr>
        <w:numPr>
          <w:ilvl w:val="0"/>
          <w:numId w:val="1003"/>
        </w:numPr>
        <w:pStyle w:val="Compact"/>
      </w:pPr>
      <w:r>
        <w:rPr>
          <w:bCs/>
          <w:b/>
        </w:rPr>
        <w:t xml:space="preserve">Use Phase Data:</w:t>
      </w:r>
      <w:r>
        <w:t xml:space="preserve"> </w:t>
      </w:r>
      <w:r>
        <w:t xml:space="preserve">Product lifespan (5 years) and energy consumption in use (20 kWh/year) were used.</w:t>
      </w:r>
    </w:p>
    <w:p>
      <w:pPr>
        <w:numPr>
          <w:ilvl w:val="0"/>
          <w:numId w:val="1003"/>
        </w:numPr>
        <w:pStyle w:val="Compact"/>
      </w:pPr>
      <w:r>
        <w:rPr>
          <w:bCs/>
          <w:b/>
        </w:rPr>
        <w:t xml:space="preserve">End-of-Life Data:</w:t>
      </w:r>
      <w:r>
        <w:t xml:space="preserve"> </w:t>
      </w:r>
      <w:r>
        <w:t xml:space="preserve">Recyclability percentage (60%) and the presence of circular/take-back programs were considered.</w:t>
      </w:r>
    </w:p>
    <w:p>
      <w:pPr>
        <w:numPr>
          <w:ilvl w:val="0"/>
          <w:numId w:val="1003"/>
        </w:numPr>
        <w:pStyle w:val="Compact"/>
      </w:pPr>
      <w:r>
        <w:rPr>
          <w:bCs/>
          <w:b/>
        </w:rPr>
        <w:t xml:space="preserve">Emission Factors:</w:t>
      </w:r>
      <w:r>
        <w:t xml:space="preserve"> </w:t>
      </w:r>
      <w:r>
        <w:t xml:space="preserve">Industry-standard emission factors from reputable databases (e.g., Ecoinvent, DEFRA-equivalent sources) were used for various activities (electricity, transport, materials) where primary data was not available or as a basis for the provided BOM factors.</w:t>
      </w:r>
    </w:p>
    <w:p>
      <w:r>
        <w:pict>
          <v:rect style="width:0;height:1.5pt" o:hralign="center" o:hrstd="t" o:hr="t"/>
        </w:pict>
      </w:r>
    </w:p>
    <w:bookmarkEnd w:id="25"/>
    <w:bookmarkEnd w:id="26"/>
    <w:bookmarkStart w:id="32" w:name="detailed-breakdown-of-inputs"/>
    <w:p>
      <w:pPr>
        <w:pStyle w:val="Heading2"/>
      </w:pPr>
      <w:r>
        <w:t xml:space="preserve">3. Detailed Breakdown of Inputs</w:t>
      </w:r>
    </w:p>
    <w:bookmarkStart w:id="27" w:name="Xdfef3abc81505f8aee8ffe46cbc371e0a42f686"/>
    <w:p>
      <w:pPr>
        <w:pStyle w:val="Heading3"/>
      </w:pPr>
      <w:r>
        <w:t xml:space="preserve">3.1. Materials and Packaging (Derived from fesujddk)</w:t>
      </w:r>
    </w:p>
    <w:p>
      <w:pPr>
        <w:pStyle w:val="FirstParagraph"/>
      </w:pPr>
      <w:r>
        <w:t xml:space="preserve">The following table details the Bill of Materials (BOM) for opfjuvnzqy, including quantities, unit emission factors, and total carbon impact for each component. These figures represent upstream (Scope 3, Category 1) emissions from material extraction and production.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3</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0.120</w:t>
            </w:r>
          </w:p>
        </w:tc>
      </w:tr>
      <w:tr>
        <w:tc>
          <w:tcPr/>
          <w:p>
            <w:pPr>
              <w:pStyle w:val="Compact"/>
              <w:jc w:val="left"/>
            </w:pPr>
            <w:r>
              <w:t xml:space="preserve">7</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0.010</w:t>
            </w:r>
          </w:p>
        </w:tc>
      </w:tr>
      <w:tr>
        <w:tc>
          <w:tcPr>
            <w:gridSpan w:val="7"/>
          </w:tcPr>
          <w:p>
            <w:pPr>
              <w:pStyle w:val="Compact"/>
              <w:jc w:val="right"/>
            </w:pPr>
            <w:r>
              <w:t xml:space="preserve">Subtotal Material &amp; Packaging Carbon:</w:t>
            </w:r>
          </w:p>
        </w:tc>
        <w:tc>
          <w:tcPr/>
          <w:p>
            <w:pPr>
              <w:pStyle w:val="Compact"/>
              <w:jc w:val="left"/>
            </w:pPr>
            <w:r>
              <w:rPr>
                <w:bCs/>
                <w:b/>
              </w:rPr>
              <w:t xml:space="preserve">18.135 kgCO2e</w:t>
            </w:r>
          </w:p>
        </w:tc>
      </w:tr>
    </w:tbl>
    <w:bookmarkEnd w:id="27"/>
    <w:bookmarkStart w:id="28" w:name="energy-inputs-production-phase"/>
    <w:p>
      <w:pPr>
        <w:pStyle w:val="Heading3"/>
      </w:pPr>
      <w:r>
        <w:t xml:space="preserve">3.2. Energy Inputs (Production Phase)</w:t>
      </w:r>
    </w:p>
    <w:p>
      <w:pPr>
        <w:pStyle w:val="FirstParagraph"/>
      </w:pPr>
      <w:r>
        <w:t xml:space="preserve">The manufacturing process for each unit of opfjuvnzqy in China consumes a specified amount of electricity. This energy input is adjusted for the company\'s renewable energy usage.</w:t>
      </w:r>
    </w:p>
    <w:p>
      <w:pPr>
        <w:numPr>
          <w:ilvl w:val="0"/>
          <w:numId w:val="1004"/>
        </w:numPr>
        <w:pStyle w:val="Compact"/>
      </w:pPr>
      <w:r>
        <w:rPr>
          <w:bCs/>
          <w:b/>
        </w:rPr>
        <w:t xml:space="preserve">Energy Intensity:</w:t>
      </w:r>
      <w:r>
        <w:t xml:space="preserve"> </w:t>
      </w:r>
      <w:r>
        <w:t xml:space="preserve">100 kWh/unit</w:t>
      </w:r>
    </w:p>
    <w:p>
      <w:pPr>
        <w:numPr>
          <w:ilvl w:val="0"/>
          <w:numId w:val="1004"/>
        </w:numPr>
        <w:pStyle w:val="Compact"/>
      </w:pPr>
      <w:r>
        <w:rPr>
          <w:bCs/>
          <w:b/>
        </w:rPr>
        <w:t xml:space="preserve">Renewable Energy Usage:</w:t>
      </w:r>
      <w:r>
        <w:t xml:space="preserve"> </w:t>
      </w:r>
      <w:r>
        <w:t xml:space="preserve">70%</w:t>
      </w:r>
    </w:p>
    <w:p>
      <w:pPr>
        <w:numPr>
          <w:ilvl w:val="0"/>
          <w:numId w:val="1004"/>
        </w:numPr>
        <w:pStyle w:val="Compact"/>
      </w:pPr>
      <w:r>
        <w:rPr>
          <w:bCs/>
          <w:b/>
        </w:rPr>
        <w:t xml:space="preserve">Non-renewable Electricity Consumption:</w:t>
      </w:r>
      <w:r>
        <w:t xml:space="preserve"> </w:t>
      </w:r>
      <w:r>
        <w:t xml:space="preserve">100 kWh/unit * (1 - 0.70) = 30 kWh/unit</w:t>
      </w:r>
    </w:p>
    <w:p>
      <w:pPr>
        <w:numPr>
          <w:ilvl w:val="0"/>
          <w:numId w:val="1004"/>
        </w:numPr>
        <w:pStyle w:val="Compact"/>
      </w:pPr>
      <w:r>
        <w:rPr>
          <w:bCs/>
          <w:b/>
        </w:rPr>
        <w:t xml:space="preserve">China Grid Emission Factor (average):</w:t>
      </w:r>
      <w:r>
        <w:t xml:space="preserve"> </w:t>
      </w:r>
      <w:r>
        <w:t xml:space="preserve">0.57 kgCO2e/kWh</w:t>
      </w:r>
    </w:p>
    <w:bookmarkEnd w:id="28"/>
    <w:bookmarkStart w:id="29" w:name="transport-inputs"/>
    <w:p>
      <w:pPr>
        <w:pStyle w:val="Heading3"/>
      </w:pPr>
      <w:r>
        <w:t xml:space="preserve">3.3. Transport Inputs</w:t>
      </w:r>
    </w:p>
    <w:p>
      <w:pPr>
        <w:pStyle w:val="FirstParagraph"/>
      </w:pPr>
      <w:r>
        <w:t xml:space="preserve">The transportation data is critical for understanding supply chain emissions.</w:t>
      </w:r>
    </w:p>
    <w:p>
      <w:pPr>
        <w:numPr>
          <w:ilvl w:val="0"/>
          <w:numId w:val="1005"/>
        </w:numPr>
        <w:pStyle w:val="Compact"/>
      </w:pPr>
      <w:r>
        <w:rPr>
          <w:bCs/>
          <w:b/>
        </w:rPr>
        <w:t xml:space="preserve">Product Weight for Transport:</w:t>
      </w:r>
      <w:r>
        <w:t xml:space="preserve"> </w:t>
      </w:r>
      <w:r>
        <w:t xml:space="preserve">Assumed average of 1.0 kg (including packaging).</w:t>
      </w:r>
    </w:p>
    <w:p>
      <w:pPr>
        <w:numPr>
          <w:ilvl w:val="0"/>
          <w:numId w:val="1005"/>
        </w:numPr>
        <w:pStyle w:val="Compact"/>
      </w:pPr>
      <w:r>
        <w:rPr>
          <w:bCs/>
          <w:b/>
        </w:rPr>
        <w:t xml:space="preserve">Upstream Transport (Road Freight to Factory):</w:t>
      </w:r>
    </w:p>
    <w:p>
      <w:pPr>
        <w:numPr>
          <w:ilvl w:val="1"/>
          <w:numId w:val="1006"/>
        </w:numPr>
        <w:pStyle w:val="Compact"/>
      </w:pPr>
      <w:r>
        <w:t xml:space="preserve">Mode: Road Freight (Heavy Goods Vehicle)</w:t>
      </w:r>
    </w:p>
    <w:p>
      <w:pPr>
        <w:numPr>
          <w:ilvl w:val="1"/>
          <w:numId w:val="1006"/>
        </w:numPr>
        <w:pStyle w:val="Compact"/>
      </w:pPr>
      <w:r>
        <w:t xml:space="preserve">Distance: 500 km</w:t>
      </w:r>
    </w:p>
    <w:p>
      <w:pPr>
        <w:numPr>
          <w:ilvl w:val="1"/>
          <w:numId w:val="1006"/>
        </w:numPr>
        <w:pStyle w:val="Compact"/>
      </w:pPr>
      <w:r>
        <w:t xml:space="preserve">Emission Factor: 0.08 kgCO2e/tonne-km</w:t>
      </w:r>
    </w:p>
    <w:p>
      <w:pPr>
        <w:numPr>
          <w:ilvl w:val="0"/>
          <w:numId w:val="1005"/>
        </w:numPr>
        <w:pStyle w:val="Compact"/>
      </w:pPr>
      <w:r>
        <w:rPr>
          <w:bCs/>
          <w:b/>
        </w:rPr>
        <w:t xml:space="preserve">Downstream Transport (Ocean Freight to Europe):</w:t>
      </w:r>
    </w:p>
    <w:p>
      <w:pPr>
        <w:numPr>
          <w:ilvl w:val="1"/>
          <w:numId w:val="1007"/>
        </w:numPr>
        <w:pStyle w:val="Compact"/>
      </w:pPr>
      <w:r>
        <w:t xml:space="preserve">Mode: Ocean Freight (Container Ship)</w:t>
      </w:r>
    </w:p>
    <w:p>
      <w:pPr>
        <w:numPr>
          <w:ilvl w:val="1"/>
          <w:numId w:val="1007"/>
        </w:numPr>
        <w:pStyle w:val="Compact"/>
      </w:pPr>
      <w:r>
        <w:t xml:space="preserve">Distance: 8000 km</w:t>
      </w:r>
    </w:p>
    <w:p>
      <w:pPr>
        <w:numPr>
          <w:ilvl w:val="1"/>
          <w:numId w:val="1007"/>
        </w:numPr>
        <w:pStyle w:val="Compact"/>
      </w:pPr>
      <w:r>
        <w:t xml:space="preserve">Emission Factor: 0.016 kgCO2e/tonne-km</w:t>
      </w:r>
    </w:p>
    <w:p>
      <w:pPr>
        <w:numPr>
          <w:ilvl w:val="0"/>
          <w:numId w:val="1005"/>
        </w:numPr>
        <w:pStyle w:val="Compact"/>
      </w:pPr>
      <w:r>
        <w:rPr>
          <w:bCs/>
          <w:b/>
        </w:rPr>
        <w:t xml:space="preserve">Last-Mile Delivery:</w:t>
      </w:r>
    </w:p>
    <w:p>
      <w:pPr>
        <w:numPr>
          <w:ilvl w:val="1"/>
          <w:numId w:val="1008"/>
        </w:numPr>
        <w:pStyle w:val="Compact"/>
      </w:pPr>
      <w:r>
        <w:t xml:space="preserve">Channel: Standard Parcel Delivery (Road)</w:t>
      </w:r>
    </w:p>
    <w:p>
      <w:pPr>
        <w:numPr>
          <w:ilvl w:val="1"/>
          <w:numId w:val="1008"/>
        </w:numPr>
        <w:pStyle w:val="Compact"/>
      </w:pPr>
      <w:r>
        <w:t xml:space="preserve">Emission Factor: ~1.0 kgCO2e/package (for local distribution to customer)</w:t>
      </w:r>
    </w:p>
    <w:bookmarkEnd w:id="29"/>
    <w:bookmarkStart w:id="30" w:name="use-phase-inputs"/>
    <w:p>
      <w:pPr>
        <w:pStyle w:val="Heading3"/>
      </w:pPr>
      <w:r>
        <w:t xml:space="preserve">3.4. Use Phase Inputs</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20 kWh/year</w:t>
      </w:r>
    </w:p>
    <w:p>
      <w:pPr>
        <w:numPr>
          <w:ilvl w:val="0"/>
          <w:numId w:val="1009"/>
        </w:numPr>
        <w:pStyle w:val="Compact"/>
      </w:pPr>
      <w:r>
        <w:rPr>
          <w:bCs/>
          <w:b/>
        </w:rPr>
        <w:t xml:space="preserve">Total Energy in Use:</w:t>
      </w:r>
      <w:r>
        <w:t xml:space="preserve"> </w:t>
      </w:r>
      <w:r>
        <w:t xml:space="preserve">100 kWh (over 5 years)</w:t>
      </w:r>
    </w:p>
    <w:p>
      <w:pPr>
        <w:numPr>
          <w:ilvl w:val="0"/>
          <w:numId w:val="1009"/>
        </w:numPr>
        <w:pStyle w:val="Compact"/>
      </w:pPr>
      <w:r>
        <w:rPr>
          <w:bCs/>
          <w:b/>
        </w:rPr>
        <w:t xml:space="preserve">Assumed European Grid Emission Factor (average):</w:t>
      </w:r>
      <w:r>
        <w:t xml:space="preserve"> </w:t>
      </w:r>
      <w:r>
        <w:t xml:space="preserve">0.25 kgCO2e/kWh</w:t>
      </w:r>
    </w:p>
    <w:bookmarkEnd w:id="30"/>
    <w:bookmarkStart w:id="31" w:name="end-of-life-eol-inputs"/>
    <w:p>
      <w:pPr>
        <w:pStyle w:val="Heading3"/>
      </w:pPr>
      <w:r>
        <w:t xml:space="preserve">3.5. End-of-Life (EoL) Inputs</w:t>
      </w:r>
    </w:p>
    <w:p>
      <w:pPr>
        <w:numPr>
          <w:ilvl w:val="0"/>
          <w:numId w:val="1010"/>
        </w:numPr>
        <w:pStyle w:val="Compact"/>
      </w:pPr>
      <w:r>
        <w:rPr>
          <w:bCs/>
          <w:b/>
        </w:rPr>
        <w:t xml:space="preserve">Recyclability Percentage:</w:t>
      </w:r>
      <w:r>
        <w:t xml:space="preserve"> </w:t>
      </w:r>
      <w:r>
        <w:t xml:space="preserve">60%</w:t>
      </w:r>
    </w:p>
    <w:p>
      <w:pPr>
        <w:numPr>
          <w:ilvl w:val="0"/>
          <w:numId w:val="1010"/>
        </w:numPr>
        <w:pStyle w:val="Compact"/>
      </w:pPr>
      <w:r>
        <w:rPr>
          <w:bCs/>
          <w:b/>
        </w:rPr>
        <w:t xml:space="preserve">Circular/Take-back Programs:</w:t>
      </w:r>
      <w:r>
        <w:t xml:space="preserve"> </w:t>
      </w:r>
      <w:r>
        <w:t xml:space="preserve">Established take-back program for key components.</w:t>
      </w:r>
    </w:p>
    <w:p>
      <w:pPr>
        <w:numPr>
          <w:ilvl w:val="0"/>
          <w:numId w:val="1010"/>
        </w:numPr>
        <w:pStyle w:val="Compact"/>
      </w:pPr>
      <w:r>
        <w:rPr>
          <w:bCs/>
          <w:b/>
        </w:rPr>
        <w:t xml:space="preserve">Avoided Emissions Factor for Recycling:</w:t>
      </w:r>
      <w:r>
        <w:t xml:space="preserve"> </w:t>
      </w:r>
      <w:r>
        <w:t xml:space="preserve">Assumed 70% saving compared to virgin material production for recycled content.</w:t>
      </w:r>
    </w:p>
    <w:p>
      <w:pPr>
        <w:numPr>
          <w:ilvl w:val="0"/>
          <w:numId w:val="1010"/>
        </w:numPr>
        <w:pStyle w:val="Compact"/>
      </w:pPr>
      <w:r>
        <w:rPr>
          <w:bCs/>
          <w:b/>
        </w:rPr>
        <w:t xml:space="preserve">Landfill Emission Factor:</w:t>
      </w:r>
      <w:r>
        <w:t xml:space="preserve"> </w:t>
      </w:r>
      <w:r>
        <w:t xml:space="preserve">Assumed 0.05 kgCO2e/kg for non-recycled waste.</w:t>
      </w:r>
    </w:p>
    <w:p>
      <w:r>
        <w:pict>
          <v:rect style="width:0;height:1.5pt" o:hralign="center" o:hrstd="t" o:hr="t"/>
        </w:pict>
      </w:r>
    </w:p>
    <w:bookmarkEnd w:id="31"/>
    <w:bookmarkEnd w:id="32"/>
    <w:bookmarkStart w:id="40"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scopes.</w:t>
      </w:r>
    </w:p>
    <w:bookmarkStart w:id="33" w:name="X07e19dcef2640b42023c4aaca652501f9a9df2c"/>
    <w:p>
      <w:pPr>
        <w:pStyle w:val="Heading3"/>
      </w:pPr>
      <w:r>
        <w:t xml:space="preserve">4.1. Raw Materials Acquisition &amp; Processing (Scope 3, Category 1: Purchased Goods and Services)</w:t>
      </w:r>
    </w:p>
    <w:p>
      <w:pPr>
        <w:pStyle w:val="FirstParagraph"/>
      </w:pPr>
      <w:r>
        <w:t xml:space="preserve">Based on the Detailed Bill of Materials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Component Category</w:t>
            </w:r>
          </w:p>
        </w:tc>
        <w:tc>
          <w:tcPr/>
          <w:p>
            <w:pPr>
              <w:pStyle w:val="Compact"/>
              <w:jc w:val="left"/>
            </w:pPr>
            <w:r>
              <w:t xml:space="preserve">Total Carbon (kgCO2e)</w:t>
            </w:r>
          </w:p>
        </w:tc>
      </w:tr>
      <w:tr>
        <w:tc>
          <w:tcPr/>
          <w:p>
            <w:pPr>
              <w:pStyle w:val="Compact"/>
              <w:jc w:val="left"/>
            </w:pPr>
            <w:r>
              <w:t xml:space="preserve">Metals (Aluminum, Copper)</w:t>
            </w:r>
          </w:p>
        </w:tc>
        <w:tc>
          <w:tcPr/>
          <w:p>
            <w:pPr>
              <w:pStyle w:val="Compact"/>
              <w:jc w:val="left"/>
            </w:pPr>
            <w:r>
              <w:t xml:space="preserve">1.875 + 0.080 = 1.955</w:t>
            </w:r>
          </w:p>
        </w:tc>
      </w:tr>
      <w:tr>
        <w:tc>
          <w:tcPr/>
          <w:p>
            <w:pPr>
              <w:pStyle w:val="Compact"/>
              <w:jc w:val="left"/>
            </w:pPr>
            <w:r>
              <w:t xml:space="preserve">Polymers (ABS Plastic)</w:t>
            </w:r>
          </w:p>
        </w:tc>
        <w:tc>
          <w:tcPr/>
          <w:p>
            <w:pPr>
              <w:pStyle w:val="Compact"/>
              <w:jc w:val="left"/>
            </w:pPr>
            <w:r>
              <w:t xml:space="preserve">0.450</w:t>
            </w:r>
          </w:p>
        </w:tc>
      </w:tr>
      <w:tr>
        <w:tc>
          <w:tcPr/>
          <w:p>
            <w:pPr>
              <w:pStyle w:val="Compact"/>
              <w:jc w:val="left"/>
            </w:pPr>
            <w:r>
              <w:t xml:space="preserve">Electronics (PCB Assembly, Li-ion Battery)</w:t>
            </w:r>
          </w:p>
        </w:tc>
        <w:tc>
          <w:tcPr/>
          <w:p>
            <w:pPr>
              <w:pStyle w:val="Compact"/>
              <w:jc w:val="left"/>
            </w:pPr>
            <w:r>
              <w:t xml:space="preserve">15.000 + 0.600 = 15.600</w:t>
            </w:r>
          </w:p>
        </w:tc>
      </w:tr>
      <w:tr>
        <w:tc>
          <w:tcPr/>
          <w:p>
            <w:pPr>
              <w:pStyle w:val="Compact"/>
              <w:jc w:val="left"/>
            </w:pPr>
            <w:r>
              <w:t xml:space="preserve">Packaging &amp; Manual (Cardboard, Paper)</w:t>
            </w:r>
          </w:p>
        </w:tc>
        <w:tc>
          <w:tcPr/>
          <w:p>
            <w:pPr>
              <w:pStyle w:val="Compact"/>
              <w:jc w:val="left"/>
            </w:pPr>
            <w:r>
              <w:t xml:space="preserve">0.120 + 0.010 = 0.130</w:t>
            </w:r>
          </w:p>
        </w:tc>
      </w:tr>
      <w:tr>
        <w:tc>
          <w:tcPr/>
          <w:p>
            <w:pPr>
              <w:pStyle w:val="Compact"/>
              <w:jc w:val="left"/>
            </w:pPr>
            <w:r>
              <w:t xml:space="preserve">Total Raw Materials &amp; Packaging Emissions (Scope 3, Cat 1)</w:t>
            </w:r>
          </w:p>
        </w:tc>
        <w:tc>
          <w:tcPr/>
          <w:p>
            <w:pPr>
              <w:pStyle w:val="Compact"/>
              <w:jc w:val="left"/>
            </w:pPr>
            <w:r>
              <w:rPr>
                <w:bCs/>
                <w:b/>
              </w:rPr>
              <w:t xml:space="preserve">18.135 kgCO2e</w:t>
            </w:r>
          </w:p>
        </w:tc>
      </w:tr>
    </w:tbl>
    <w:bookmarkEnd w:id="33"/>
    <w:bookmarkStart w:id="34" w:name="X692a62282c02d531f8aac4484bce618d834c3be"/>
    <w:p>
      <w:pPr>
        <w:pStyle w:val="Heading3"/>
      </w:pPr>
      <w:r>
        <w:t xml:space="preserve">4.2. Upstream Transportation (Scope 3, Category 4: Upstream Transportation and Distribution)</w:t>
      </w:r>
    </w:p>
    <w:p>
      <w:pPr>
        <w:pStyle w:val="FirstParagraph"/>
      </w:pPr>
      <w:r>
        <w:t xml:space="preserve">Road freight emissions for transporting materials or components to the factory:</w:t>
      </w:r>
    </w:p>
    <w:p>
      <w:pPr>
        <w:numPr>
          <w:ilvl w:val="0"/>
          <w:numId w:val="1011"/>
        </w:numPr>
        <w:pStyle w:val="Compact"/>
      </w:pPr>
      <w:r>
        <w:t xml:space="preserve">Activity: 1.0 kg (product weight) * 500 km = 500 kg-km = 0.5 tonne-km</w:t>
      </w:r>
    </w:p>
    <w:p>
      <w:pPr>
        <w:numPr>
          <w:ilvl w:val="0"/>
          <w:numId w:val="1011"/>
        </w:numPr>
        <w:pStyle w:val="Compact"/>
      </w:pPr>
      <w:r>
        <w:t xml:space="preserve">Emission Factor: 0.08 kgCO2e/tonne-km</w:t>
      </w:r>
    </w:p>
    <w:p>
      <w:pPr>
        <w:numPr>
          <w:ilvl w:val="0"/>
          <w:numId w:val="1011"/>
        </w:numPr>
        <w:pStyle w:val="Compact"/>
      </w:pPr>
      <w:r>
        <w:t xml:space="preserve">Calculation: 0.5 tonne-km * 0.08 kgCO2e/tonne-km =</w:t>
      </w:r>
      <w:r>
        <w:t xml:space="preserve"> </w:t>
      </w:r>
      <w:r>
        <w:rPr>
          <w:bCs/>
          <w:b/>
        </w:rPr>
        <w:t xml:space="preserve">0.04 kgCO2e</w:t>
      </w:r>
    </w:p>
    <w:bookmarkEnd w:id="34"/>
    <w:bookmarkStart w:id="35" w:name="X7cd6c4ad822be9527312ea6d1299e8b2afe97ff"/>
    <w:p>
      <w:pPr>
        <w:pStyle w:val="Heading3"/>
      </w:pPr>
      <w:r>
        <w:t xml:space="preserve">4.3. Manufacturing (Scope 2: Purchased Electricity)</w:t>
      </w:r>
    </w:p>
    <w:p>
      <w:pPr>
        <w:pStyle w:val="FirstParagraph"/>
      </w:pPr>
      <w:r>
        <w:t xml:space="preserve">Emissions from electricity consumption at the manufacturing facility in China, adjusted for renewable energy usage:</w:t>
      </w:r>
    </w:p>
    <w:p>
      <w:pPr>
        <w:numPr>
          <w:ilvl w:val="0"/>
          <w:numId w:val="1012"/>
        </w:numPr>
        <w:pStyle w:val="Compact"/>
      </w:pPr>
      <w:r>
        <w:t xml:space="preserve">Non-renewable Electricity: 30 kWh/unit</w:t>
      </w:r>
    </w:p>
    <w:p>
      <w:pPr>
        <w:numPr>
          <w:ilvl w:val="0"/>
          <w:numId w:val="1012"/>
        </w:numPr>
        <w:pStyle w:val="Compact"/>
      </w:pPr>
      <w:r>
        <w:t xml:space="preserve">China Grid Emission Factor: 0.57 kgCO2e/kWh</w:t>
      </w:r>
    </w:p>
    <w:p>
      <w:pPr>
        <w:numPr>
          <w:ilvl w:val="0"/>
          <w:numId w:val="1012"/>
        </w:numPr>
        <w:pStyle w:val="Compact"/>
      </w:pPr>
      <w:r>
        <w:t xml:space="preserve">Calculation: 30 kWh/unit * 0.57 kgCO2e/kWh =</w:t>
      </w:r>
      <w:r>
        <w:t xml:space="preserve"> </w:t>
      </w:r>
      <w:r>
        <w:rPr>
          <w:bCs/>
          <w:b/>
        </w:rPr>
        <w:t xml:space="preserve">17.10 kgCO2e</w:t>
      </w:r>
    </w:p>
    <w:bookmarkEnd w:id="35"/>
    <w:bookmarkStart w:id="36" w:name="Xbfc49e437c8ff2bfb1bebbf710db0b4a9ce8599"/>
    <w:p>
      <w:pPr>
        <w:pStyle w:val="Heading3"/>
      </w:pPr>
      <w:r>
        <w:t xml:space="preserve">4.4. Downstream Transportation to Market (Scope 3, Category 9: Downstream Transportation and Distribution)</w:t>
      </w:r>
    </w:p>
    <w:p>
      <w:pPr>
        <w:pStyle w:val="FirstParagraph"/>
      </w:pPr>
      <w:r>
        <w:t xml:space="preserve">Emissions from product distribution to the end customer:</w:t>
      </w:r>
    </w:p>
    <w:p>
      <w:pPr>
        <w:pStyle w:val="BodyText"/>
      </w:pPr>
      <w:r>
        <w:rPr>
          <w:bCs/>
          <w:b/>
        </w:rPr>
        <w:t xml:space="preserve">Ocean Freight (China to Europe):</w:t>
      </w:r>
    </w:p>
    <w:p>
      <w:pPr>
        <w:numPr>
          <w:ilvl w:val="0"/>
          <w:numId w:val="1013"/>
        </w:numPr>
        <w:pStyle w:val="Compact"/>
      </w:pPr>
      <w:r>
        <w:t xml:space="preserve">Activity: 1.0 kg (product weight) * 8000 km = 8000 kg-km = 8 tonne-km</w:t>
      </w:r>
    </w:p>
    <w:p>
      <w:pPr>
        <w:numPr>
          <w:ilvl w:val="0"/>
          <w:numId w:val="1013"/>
        </w:numPr>
        <w:pStyle w:val="Compact"/>
      </w:pPr>
      <w:r>
        <w:t xml:space="preserve">Emission Factor: 0.016 kgCO2e/tonne-km</w:t>
      </w:r>
    </w:p>
    <w:p>
      <w:pPr>
        <w:numPr>
          <w:ilvl w:val="0"/>
          <w:numId w:val="1013"/>
        </w:numPr>
        <w:pStyle w:val="Compact"/>
      </w:pPr>
      <w:r>
        <w:t xml:space="preserve">Calculation: 8 tonne-km * 0.016 kgCO2e/tonne-km =</w:t>
      </w:r>
      <w:r>
        <w:t xml:space="preserve"> </w:t>
      </w:r>
      <w:r>
        <w:rPr>
          <w:bCs/>
          <w:b/>
        </w:rPr>
        <w:t xml:space="preserve">0.128 kgCO2e</w:t>
      </w:r>
    </w:p>
    <w:p>
      <w:pPr>
        <w:pStyle w:val="FirstParagraph"/>
      </w:pPr>
      <w:r>
        <w:rPr>
          <w:bCs/>
          <w:b/>
        </w:rPr>
        <w:t xml:space="preserve">Last-Mile Delivery (Standard Parcel Delivery):</w:t>
      </w:r>
    </w:p>
    <w:p>
      <w:pPr>
        <w:numPr>
          <w:ilvl w:val="0"/>
          <w:numId w:val="1014"/>
        </w:numPr>
        <w:pStyle w:val="Compact"/>
      </w:pPr>
      <w:r>
        <w:t xml:space="preserve">Activity: 1.0 unit (package)</w:t>
      </w:r>
    </w:p>
    <w:p>
      <w:pPr>
        <w:numPr>
          <w:ilvl w:val="0"/>
          <w:numId w:val="1014"/>
        </w:numPr>
        <w:pStyle w:val="Compact"/>
      </w:pPr>
      <w:r>
        <w:t xml:space="preserve">Emission Factor: 1.0 kgCO2e/package</w:t>
      </w:r>
    </w:p>
    <w:p>
      <w:pPr>
        <w:numPr>
          <w:ilvl w:val="0"/>
          <w:numId w:val="1014"/>
        </w:numPr>
        <w:pStyle w:val="Compact"/>
      </w:pPr>
      <w:r>
        <w:t xml:space="preserve">Calculation: 1.0 unit * 1.0 kgCO2e/package =</w:t>
      </w:r>
      <w:r>
        <w:t xml:space="preserve"> </w:t>
      </w:r>
      <w:r>
        <w:rPr>
          <w:bCs/>
          <w:b/>
        </w:rPr>
        <w:t xml:space="preserve">1.000 kgCO2e</w:t>
      </w:r>
    </w:p>
    <w:p>
      <w:pPr>
        <w:pStyle w:val="FirstParagraph"/>
      </w:pPr>
      <w:r>
        <w:rPr>
          <w:bCs/>
          <w:b/>
        </w:rPr>
        <w:t xml:space="preserve">Total Downstream Transportation Emissions:</w:t>
      </w:r>
      <w:r>
        <w:t xml:space="preserve"> </w:t>
      </w:r>
      <w:r>
        <w:t xml:space="preserve">0.128 + 1.000 =</w:t>
      </w:r>
      <w:r>
        <w:t xml:space="preserve"> </w:t>
      </w:r>
      <w:r>
        <w:rPr>
          <w:bCs/>
          <w:b/>
        </w:rPr>
        <w:t xml:space="preserve">1.128 kgCO2e</w:t>
      </w:r>
    </w:p>
    <w:bookmarkEnd w:id="36"/>
    <w:bookmarkStart w:id="37" w:name="Xc8d47610e025d3b1fe367d676386ecee874efa3"/>
    <w:p>
      <w:pPr>
        <w:pStyle w:val="Heading3"/>
      </w:pPr>
      <w:r>
        <w:t xml:space="preserve">4.5. Use Phase (Scope 3, Category 11: Use of Sold Products)</w:t>
      </w:r>
    </w:p>
    <w:p>
      <w:pPr>
        <w:pStyle w:val="FirstParagraph"/>
      </w:pPr>
      <w:r>
        <w:t xml:space="preserve">Emissions from electricity consumption during the product\'s lifespan:</w:t>
      </w:r>
    </w:p>
    <w:p>
      <w:pPr>
        <w:numPr>
          <w:ilvl w:val="0"/>
          <w:numId w:val="1015"/>
        </w:numPr>
        <w:pStyle w:val="Compact"/>
      </w:pPr>
      <w:r>
        <w:t xml:space="preserve">Total Energy in Use: 100 kWh</w:t>
      </w:r>
    </w:p>
    <w:p>
      <w:pPr>
        <w:numPr>
          <w:ilvl w:val="0"/>
          <w:numId w:val="1015"/>
        </w:numPr>
        <w:pStyle w:val="Compact"/>
      </w:pPr>
      <w:r>
        <w:t xml:space="preserve">Assumed European Grid Emission Factor: 0.25 kgCO2e/kWh</w:t>
      </w:r>
    </w:p>
    <w:p>
      <w:pPr>
        <w:numPr>
          <w:ilvl w:val="0"/>
          <w:numId w:val="1015"/>
        </w:numPr>
        <w:pStyle w:val="Compact"/>
      </w:pPr>
      <w:r>
        <w:t xml:space="preserve">Calculation: 100 kWh * 0.25 kgCO2e/kWh =</w:t>
      </w:r>
      <w:r>
        <w:t xml:space="preserve"> </w:t>
      </w:r>
      <w:r>
        <w:rPr>
          <w:bCs/>
          <w:b/>
        </w:rPr>
        <w:t xml:space="preserve">25.00 kgCO2e</w:t>
      </w:r>
    </w:p>
    <w:bookmarkEnd w:id="37"/>
    <w:bookmarkStart w:id="38" w:name="X65f813d24c0ff2e24bde4d8d9de683cc7ae7bcb"/>
    <w:p>
      <w:pPr>
        <w:pStyle w:val="Heading3"/>
      </w:pPr>
      <w:r>
        <w:t xml:space="preserve">4.6. End-of-Life (EoL) Treatment (Scope 3, Category 12: End-of-Life Treatment of Sold Products)</w:t>
      </w:r>
    </w:p>
    <w:p>
      <w:pPr>
        <w:pStyle w:val="FirstParagraph"/>
      </w:pPr>
      <w:r>
        <w:t xml:space="preserve">Emissions and avoided emissions from disposal and recycling:</w:t>
      </w:r>
    </w:p>
    <w:p>
      <w:pPr>
        <w:numPr>
          <w:ilvl w:val="0"/>
          <w:numId w:val="1016"/>
        </w:numPr>
        <w:pStyle w:val="Compact"/>
      </w:pPr>
      <w:r>
        <w:t xml:space="preserve">Product Weight for EoL: 1.0 kg</w:t>
      </w:r>
    </w:p>
    <w:p>
      <w:pPr>
        <w:numPr>
          <w:ilvl w:val="0"/>
          <w:numId w:val="1016"/>
        </w:numPr>
        <w:pStyle w:val="Compact"/>
      </w:pPr>
      <w:r>
        <w:t xml:space="preserve">Recycled Portion: 60% of 1.0 kg = 0.6 kg</w:t>
      </w:r>
    </w:p>
    <w:p>
      <w:pPr>
        <w:numPr>
          <w:ilvl w:val="0"/>
          <w:numId w:val="1016"/>
        </w:numPr>
        <w:pStyle w:val="Compact"/>
      </w:pPr>
      <w:r>
        <w:t xml:space="preserve">Landfilled Portion: 40% of 1.0 kg = 0.4 kg</w:t>
      </w:r>
    </w:p>
    <w:p>
      <w:pPr>
        <w:numPr>
          <w:ilvl w:val="0"/>
          <w:numId w:val="1016"/>
        </w:numPr>
        <w:pStyle w:val="Compact"/>
      </w:pPr>
      <w:r>
        <w:rPr>
          <w:bCs/>
          <w:b/>
        </w:rPr>
        <w:t xml:space="preserve">Avoided Emissions from Recycling:</w:t>
      </w:r>
    </w:p>
    <w:p>
      <w:pPr>
        <w:numPr>
          <w:ilvl w:val="1"/>
          <w:numId w:val="1017"/>
        </w:numPr>
        <w:pStyle w:val="Compact"/>
      </w:pPr>
      <w:r>
        <w:t xml:space="preserve">Total Virgin Material Emissions (relevant to recycling credit): ~18.005 kgCO2e (excluding packaging/manual).</w:t>
      </w:r>
    </w:p>
    <w:p>
      <w:pPr>
        <w:numPr>
          <w:ilvl w:val="1"/>
          <w:numId w:val="1017"/>
        </w:numPr>
        <w:pStyle w:val="Compact"/>
      </w:pPr>
      <w:r>
        <w:t xml:space="preserve">Avoided Emissions: 18.005 kgCO2e * 0.60 (recycled) * 0.70 (saving factor) =</w:t>
      </w:r>
      <w:r>
        <w:t xml:space="preserve"> </w:t>
      </w:r>
      <w:r>
        <w:rPr>
          <w:bCs/>
          <w:b/>
        </w:rPr>
        <w:t xml:space="preserve">-7.56 kgCO2e</w:t>
      </w:r>
    </w:p>
    <w:p>
      <w:pPr>
        <w:numPr>
          <w:ilvl w:val="0"/>
          <w:numId w:val="1016"/>
        </w:numPr>
        <w:pStyle w:val="Compact"/>
      </w:pPr>
      <w:r>
        <w:rPr>
          <w:bCs/>
          <w:b/>
        </w:rPr>
        <w:t xml:space="preserve">Emissions from Landfill:</w:t>
      </w:r>
    </w:p>
    <w:p>
      <w:pPr>
        <w:numPr>
          <w:ilvl w:val="1"/>
          <w:numId w:val="1018"/>
        </w:numPr>
        <w:pStyle w:val="Compact"/>
      </w:pPr>
      <w:r>
        <w:t xml:space="preserve">Landfilled Weight: 0.4 kg</w:t>
      </w:r>
    </w:p>
    <w:p>
      <w:pPr>
        <w:numPr>
          <w:ilvl w:val="1"/>
          <w:numId w:val="1018"/>
        </w:numPr>
        <w:pStyle w:val="Compact"/>
      </w:pPr>
      <w:r>
        <w:t xml:space="preserve">Landfill Emission Factor: 0.05 kgCO2e/kg</w:t>
      </w:r>
    </w:p>
    <w:p>
      <w:pPr>
        <w:numPr>
          <w:ilvl w:val="1"/>
          <w:numId w:val="1018"/>
        </w:numPr>
        <w:pStyle w:val="Compact"/>
      </w:pPr>
      <w:r>
        <w:t xml:space="preserve">Calculation: 0.4 kg * 0.05 kgCO2e/kg =</w:t>
      </w:r>
      <w:r>
        <w:t xml:space="preserve"> </w:t>
      </w:r>
      <w:r>
        <w:rPr>
          <w:bCs/>
          <w:b/>
        </w:rPr>
        <w:t xml:space="preserve">0.02 kgCO2e</w:t>
      </w:r>
    </w:p>
    <w:p>
      <w:pPr>
        <w:pStyle w:val="FirstParagraph"/>
      </w:pPr>
      <w:r>
        <w:rPr>
          <w:bCs/>
          <w:b/>
        </w:rPr>
        <w:t xml:space="preserve">Net End-of-Life Emissions:</w:t>
      </w:r>
      <w:r>
        <w:t xml:space="preserve"> </w:t>
      </w:r>
      <w:r>
        <w:t xml:space="preserve">0.02 - 7.56 =</w:t>
      </w:r>
      <w:r>
        <w:t xml:space="preserve"> </w:t>
      </w:r>
      <w:r>
        <w:rPr>
          <w:bCs/>
          <w:b/>
        </w:rPr>
        <w:t xml:space="preserve">-7.54 kgCO2e</w:t>
      </w:r>
    </w:p>
    <w:bookmarkEnd w:id="38"/>
    <w:bookmarkStart w:id="39" w:name="X1106d2b2006a5ea619bcd4ed2144b11c4821b2e"/>
    <w:p>
      <w:pPr>
        <w:pStyle w:val="Heading3"/>
      </w:pPr>
      <w:r>
        <w:t xml:space="preserve">4.7. Summary of Product Carbon Footprint by Scope and Stage</w:t>
      </w:r>
    </w:p>
    <w:p>
      <w:pPr>
        <w:pStyle w:val="FirstParagraph"/>
      </w:pPr>
      <w:r>
        <w:t xml:space="preserve">The total PCF for opfjuvnzqy is the sum of emissions across all lifecycle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(kgCO2e/unit)</w:t>
            </w:r>
          </w:p>
        </w:tc>
      </w:tr>
      <w:tr>
        <w:tc>
          <w:tcPr>
            <w:gridSpan w:val="2"/>
          </w:tcPr>
          <w:p>
            <w:pPr>
              <w:pStyle w:val="Compact"/>
              <w:jc w:val="left"/>
            </w:pPr>
            <w:r>
              <w:t xml:space="preserve">Scope 2: Purchased Electricity</w:t>
            </w:r>
          </w:p>
        </w:tc>
      </w:tr>
      <w:tr>
        <w:tc>
          <w:tcPr/>
          <w:p>
            <w:pPr>
              <w:pStyle w:val="Compact"/>
              <w:jc w:val="left"/>
            </w:pPr>
            <w:r>
              <w:t xml:space="preserve">Manufacturing (Production Energy, China)</w:t>
            </w:r>
          </w:p>
        </w:tc>
        <w:tc>
          <w:tcPr/>
          <w:p>
            <w:pPr>
              <w:pStyle w:val="Compact"/>
              <w:jc w:val="left"/>
            </w:pPr>
            <w:r>
              <w:t xml:space="preserve">17.10</w:t>
            </w:r>
          </w:p>
        </w:tc>
      </w:tr>
      <w:tr>
        <w:tc>
          <w:tcPr>
            <w:gridSpan w:val="2"/>
          </w:tcPr>
          <w:p>
            <w:pPr>
              <w:pStyle w:val="Compact"/>
              <w:jc w:val="left"/>
            </w:pPr>
            <w:r>
              <w:t xml:space="preserve">Scope 3: Value Chain Emissions</w:t>
            </w:r>
          </w:p>
        </w:tc>
      </w:tr>
      <w:tr>
        <w:tc>
          <w:tcPr/>
          <w:p>
            <w:pPr>
              <w:pStyle w:val="Compact"/>
              <w:jc w:val="left"/>
            </w:pPr>
            <w:r>
              <w:t xml:space="preserve">Category 1: Purchased Goods and Services (Raw Materials &amp; Packaging)</w:t>
            </w:r>
          </w:p>
        </w:tc>
        <w:tc>
          <w:tcPr/>
          <w:p>
            <w:pPr>
              <w:pStyle w:val="Compact"/>
              <w:jc w:val="left"/>
            </w:pPr>
            <w:r>
              <w:t xml:space="preserve">18.135</w:t>
            </w:r>
          </w:p>
        </w:tc>
      </w:tr>
      <w:tr>
        <w:tc>
          <w:tcPr/>
          <w:p>
            <w:pPr>
              <w:pStyle w:val="Compact"/>
              <w:jc w:val="left"/>
            </w:pPr>
            <w:r>
              <w:t xml:space="preserve">Category 4: Upstream Transportation and Distribution (Road Freight to Factory)</w:t>
            </w:r>
          </w:p>
        </w:tc>
        <w:tc>
          <w:tcPr/>
          <w:p>
            <w:pPr>
              <w:pStyle w:val="Compact"/>
              <w:jc w:val="left"/>
            </w:pPr>
            <w:r>
              <w:t xml:space="preserve">0.04</w:t>
            </w:r>
          </w:p>
        </w:tc>
      </w:tr>
      <w:tr>
        <w:tc>
          <w:tcPr/>
          <w:p>
            <w:pPr>
              <w:pStyle w:val="Compact"/>
              <w:jc w:val="left"/>
            </w:pPr>
            <w:r>
              <w:t xml:space="preserve">Category 9: Downstream Transportation and Distribution (Ocean + Last-Mile)</w:t>
            </w:r>
          </w:p>
        </w:tc>
        <w:tc>
          <w:tcPr/>
          <w:p>
            <w:pPr>
              <w:pStyle w:val="Compact"/>
              <w:jc w:val="left"/>
            </w:pPr>
            <w:r>
              <w:t xml:space="preserve">1.128</w:t>
            </w:r>
          </w:p>
        </w:tc>
      </w:tr>
      <w:tr>
        <w:tc>
          <w:tcPr/>
          <w:p>
            <w:pPr>
              <w:pStyle w:val="Compact"/>
              <w:jc w:val="left"/>
            </w:pPr>
            <w:r>
              <w:t xml:space="preserve">Category 11: Use of Sold Products</w:t>
            </w:r>
          </w:p>
        </w:tc>
        <w:tc>
          <w:tcPr/>
          <w:p>
            <w:pPr>
              <w:pStyle w:val="Compact"/>
              <w:jc w:val="left"/>
            </w:pPr>
            <w:r>
              <w:t xml:space="preserve">25.00</w:t>
            </w:r>
          </w:p>
        </w:tc>
      </w:tr>
      <w:tr>
        <w:tc>
          <w:tcPr/>
          <w:p>
            <w:pPr>
              <w:pStyle w:val="Compact"/>
              <w:jc w:val="left"/>
            </w:pPr>
            <w:r>
              <w:t xml:space="preserve">Category 12: End-of-Life Treatment of Sold Products (Net)</w:t>
            </w:r>
          </w:p>
        </w:tc>
        <w:tc>
          <w:tcPr/>
          <w:p>
            <w:pPr>
              <w:pStyle w:val="Compact"/>
              <w:jc w:val="left"/>
            </w:pPr>
            <w:r>
              <w:t xml:space="preserve">-7.54</w:t>
            </w:r>
          </w:p>
        </w:tc>
      </w:tr>
      <w:tr>
        <w:tc>
          <w:tcPr/>
          <w:p>
            <w:pPr>
              <w:pStyle w:val="Compact"/>
              <w:jc w:val="left"/>
            </w:pPr>
            <w:r>
              <w:t xml:space="preserve">TOTAL PRODUCT CARBON FOOTPRINT (PCF)</w:t>
            </w:r>
          </w:p>
        </w:tc>
        <w:tc>
          <w:tcPr/>
          <w:p>
            <w:pPr>
              <w:pStyle w:val="Compact"/>
              <w:jc w:val="left"/>
            </w:pPr>
            <w:r>
              <w:rPr>
                <w:bCs/>
                <w:b/>
              </w:rPr>
              <w:t xml:space="preserve">53.86 kgCO2e</w:t>
            </w:r>
          </w:p>
        </w:tc>
      </w:tr>
    </w:tbl>
    <w:p>
      <w:pPr>
        <w:pStyle w:val="BodyText"/>
      </w:pPr>
      <w:r>
        <w:rPr>
          <w:iCs/>
          <w:i/>
        </w:rPr>
        <w:t xml:space="preserve">Note: Scope 1 emissions (direct GHG emissions from operations) are assumed to be negligible at the product level for this analysis unless significant on-site fuel combustion for this specific product\'s manufacturing process was specified.</w:t>
      </w:r>
    </w:p>
    <w:p>
      <w:r>
        <w:pict>
          <v:rect style="width:0;height:1.5pt" o:hralign="center" o:hrstd="t" o:hr="t"/>
        </w:pict>
      </w:r>
    </w:p>
    <w:bookmarkEnd w:id="39"/>
    <w:bookmarkEnd w:id="40"/>
    <w:bookmarkStart w:id="43"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analysis reveals the following major emission hotspots for opfjuvnzqy:</w:t>
      </w:r>
    </w:p>
    <w:p>
      <w:pPr>
        <w:numPr>
          <w:ilvl w:val="0"/>
          <w:numId w:val="1019"/>
        </w:numPr>
        <w:pStyle w:val="Compact"/>
      </w:pPr>
      <w:r>
        <w:rPr>
          <w:bCs/>
          <w:b/>
        </w:rPr>
        <w:t xml:space="preserve">Use Phase (25.00 kgCO2e):</w:t>
      </w:r>
      <w:r>
        <w:t xml:space="preserve"> </w:t>
      </w:r>
      <w:r>
        <w:t xml:space="preserve">This is the largest contributor to the PCF, primarily due to the electricity consumption over the product\'s 5-year lifespan. This highlights the importance of energy efficiency during product design and influencing user behavior.</w:t>
      </w:r>
    </w:p>
    <w:p>
      <w:pPr>
        <w:numPr>
          <w:ilvl w:val="0"/>
          <w:numId w:val="1019"/>
        </w:numPr>
        <w:pStyle w:val="Compact"/>
      </w:pPr>
      <w:r>
        <w:rPr>
          <w:bCs/>
          <w:b/>
        </w:rPr>
        <w:t xml:space="preserve">Purchased Goods and Services (18.135 kgCO2e):</w:t>
      </w:r>
      <w:r>
        <w:t xml:space="preserve"> </w:t>
      </w:r>
      <w:r>
        <w:t xml:space="preserve">The production of raw materials and components, particularly the Printed Circuit Board Assembly and Aluminum Casing, represents a significant upstream impact. Efforts to source lower-carbon materials or reduce material intensity would be beneficial.</w:t>
      </w:r>
    </w:p>
    <w:p>
      <w:pPr>
        <w:numPr>
          <w:ilvl w:val="0"/>
          <w:numId w:val="1019"/>
        </w:numPr>
        <w:pStyle w:val="Compact"/>
      </w:pPr>
      <w:r>
        <w:rPr>
          <w:bCs/>
          <w:b/>
        </w:rPr>
        <w:t xml:space="preserve">Manufacturing (17.10 kgCO2e):</w:t>
      </w:r>
      <w:r>
        <w:t xml:space="preserve"> </w:t>
      </w:r>
      <w:r>
        <w:t xml:space="preserve">While 70% renewable energy is used, the remaining 30% of grid electricity in China still contributes substantially due to the country\'s grid carbon intensity. Further increasing renewable energy penetration or improving energy efficiency in production processes can reduce this.</w:t>
      </w:r>
    </w:p>
    <w:p>
      <w:pPr>
        <w:numPr>
          <w:ilvl w:val="0"/>
          <w:numId w:val="1019"/>
        </w:numPr>
        <w:pStyle w:val="Compact"/>
      </w:pPr>
      <w:r>
        <w:rPr>
          <w:bCs/>
          <w:b/>
        </w:rPr>
        <w:t xml:space="preserve">End-of-Life (-7.54 kgCO2e):</w:t>
      </w:r>
      <w:r>
        <w:t xml:space="preserve"> </w:t>
      </w:r>
      <w:r>
        <w:t xml:space="preserve">The established circular/take-back programs and high recyclability percentage lead to significant avoided emissions, demonstrating the positive impact of circular economy initiatives.</w:t>
      </w:r>
    </w:p>
    <w:bookmarkEnd w:id="41"/>
    <w:bookmarkStart w:id="42" w:name="reliability"/>
    <w:p>
      <w:pPr>
        <w:pStyle w:val="Heading3"/>
      </w:pPr>
      <w:r>
        <w:t xml:space="preserve">5.2. Reliability</w:t>
      </w:r>
    </w:p>
    <w:p>
      <w:pPr>
        <w:pStyle w:val="FirstParagraph"/>
      </w:pPr>
      <w:r>
        <w:t xml:space="preserve">The reliability of this PCF analysis is contingent upon the accuracy of the provided primary data and the representativeness of the secondary emission factors used. All calculations are performed according to recognized methodologies. Potential areas for further refinement include:</w:t>
      </w:r>
    </w:p>
    <w:p>
      <w:pPr>
        <w:numPr>
          <w:ilvl w:val="0"/>
          <w:numId w:val="1020"/>
        </w:numPr>
        <w:pStyle w:val="Compact"/>
      </w:pPr>
      <w:r>
        <w:t xml:space="preserve">Collecting more specific primary data for all material production processes.</w:t>
      </w:r>
    </w:p>
    <w:p>
      <w:pPr>
        <w:numPr>
          <w:ilvl w:val="0"/>
          <w:numId w:val="1020"/>
        </w:numPr>
        <w:pStyle w:val="Compact"/>
      </w:pPr>
      <w:r>
        <w:t xml:space="preserve">Utilizing region-specific emission factors for upstream transportation routes.</w:t>
      </w:r>
    </w:p>
    <w:p>
      <w:pPr>
        <w:numPr>
          <w:ilvl w:val="0"/>
          <w:numId w:val="1020"/>
        </w:numPr>
        <w:pStyle w:val="Compact"/>
      </w:pPr>
      <w:r>
        <w:t xml:space="preserve">Detailed modeling of the energy mix for the use phase, reflecting diverse end-user geographies.</w:t>
      </w:r>
    </w:p>
    <w:p>
      <w:pPr>
        <w:numPr>
          <w:ilvl w:val="0"/>
          <w:numId w:val="1020"/>
        </w:numPr>
        <w:pStyle w:val="Compact"/>
      </w:pPr>
      <w:r>
        <w:t xml:space="preserve">Further quantification of the benefits of circular programs beyond material recycling.</w:t>
      </w:r>
    </w:p>
    <w:p>
      <w:pPr>
        <w:pStyle w:val="FirstParagraph"/>
      </w:pPr>
      <w:r>
        <w:t xml:space="preserve">This report provides a robust baseline for</w:t>
      </w:r>
      <w:r>
        <w:t xml:space="preserve"> </w:t>
      </w:r>
      <w:r>
        <w:rPr>
          <w:bCs/>
          <w:b/>
        </w:rPr>
        <w:t xml:space="preserve">xwdjyxfjom</w:t>
      </w:r>
      <w:r>
        <w:t xml:space="preserve"> </w:t>
      </w:r>
      <w:r>
        <w:t xml:space="preserve">to understand the environmental impact of</w:t>
      </w:r>
      <w:r>
        <w:t xml:space="preserve"> </w:t>
      </w:r>
      <w:r>
        <w:rPr>
          <w:bCs/>
          <w:b/>
        </w:rPr>
        <w:t xml:space="preserve">opfjuvnzqy</w:t>
      </w:r>
      <w:r>
        <w:t xml:space="preserve"> </w:t>
      </w:r>
      <w:r>
        <w:t xml:space="preserve">and to identify strategic areas for emission reduction in alignment with GHG Protocol standards and upcoming 2026 requirements.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opfjuvnzqy</dc:title>
  <dc:creator/>
  <dc:description>Detailed Product Carbon Footprint (PCF) analysis report for opfjuvnzqy, developed for xwdjyxfjom following GHG Protocol standards.</dc:description>
  <dc:language>en</dc:language>
  <cp:keywords/>
  <dcterms:created xsi:type="dcterms:W3CDTF">2026-07-15T07:12:32Z</dcterms:created>
  <dcterms:modified xsi:type="dcterms:W3CDTF">2026-07-15T07:12:32Z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